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BB9F" w14:textId="77777777" w:rsidR="00D04D6E" w:rsidRDefault="00D04D6E">
      <w:pPr>
        <w:pStyle w:val="CRCoverPage"/>
        <w:tabs>
          <w:tab w:val="right" w:pos="9639"/>
        </w:tabs>
        <w:rPr>
          <w:rFonts w:ascii="Times New Roman" w:eastAsia="DengXian" w:hAnsi="Times New Roman"/>
          <w:b/>
          <w:sz w:val="24"/>
          <w:lang w:eastAsia="zh-CN"/>
        </w:rPr>
      </w:pPr>
      <w:bookmarkStart w:id="0" w:name="_Toc193024528"/>
    </w:p>
    <w:p w14:paraId="18BB6B3A" w14:textId="77777777" w:rsidR="00D04D6E" w:rsidRDefault="0044387D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7079F133" wp14:editId="11271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F92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#110-e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690D46D7" w14:textId="77777777" w:rsidR="00D04D6E" w:rsidRDefault="0044387D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June 1 – 12, 2020</w:t>
      </w:r>
    </w:p>
    <w:p w14:paraId="3D639DD7" w14:textId="77777777" w:rsidR="00D04D6E" w:rsidRDefault="00D04D6E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1AB24FC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Qualcomm Incorporated</w:t>
      </w:r>
    </w:p>
    <w:p w14:paraId="0DB6B642" w14:textId="77777777" w:rsidR="00D04D6E" w:rsidRDefault="0044387D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Summary of email discussion [AT110e][</w:t>
      </w:r>
      <w:proofErr w:type="gramStart"/>
      <w:r>
        <w:rPr>
          <w:rFonts w:ascii="Arial" w:hAnsi="Arial" w:cs="Arial"/>
          <w:b/>
          <w:sz w:val="22"/>
        </w:rPr>
        <w:t>017][</w:t>
      </w:r>
      <w:proofErr w:type="gramEnd"/>
      <w:r>
        <w:rPr>
          <w:rFonts w:ascii="Arial" w:hAnsi="Arial" w:cs="Arial"/>
          <w:b/>
          <w:sz w:val="22"/>
        </w:rPr>
        <w:t>NR15] UE cap Simultaneous SRS antenna and carrier switching</w:t>
      </w:r>
    </w:p>
    <w:p w14:paraId="357ACC3B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14:paraId="42F9CD7F" w14:textId="77777777" w:rsidR="00D04D6E" w:rsidRDefault="0044387D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5.4.3.1</w:t>
      </w:r>
    </w:p>
    <w:p w14:paraId="044D67B8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2890A482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5003DE93" w14:textId="77777777" w:rsidR="00D04D6E" w:rsidRDefault="0044387D">
      <w:pPr>
        <w:pStyle w:val="EmailDiscussion"/>
        <w:tabs>
          <w:tab w:val="clear" w:pos="1710"/>
          <w:tab w:val="left" w:pos="419"/>
        </w:tabs>
        <w:ind w:leftChars="29" w:left="418"/>
      </w:pPr>
      <w:r>
        <w:t>[AT110e][</w:t>
      </w:r>
      <w:proofErr w:type="gramStart"/>
      <w:r>
        <w:t>017][</w:t>
      </w:r>
      <w:proofErr w:type="gramEnd"/>
      <w:r>
        <w:t>NR15] UE cap Simultaneous SRS antenna and carrier switching (Qualcomm)</w:t>
      </w:r>
    </w:p>
    <w:p w14:paraId="3F7E94F4" w14:textId="77777777" w:rsidR="00D04D6E" w:rsidRDefault="0044387D">
      <w:pPr>
        <w:pStyle w:val="EmailDiscussion2"/>
        <w:ind w:leftChars="255" w:left="510"/>
      </w:pPr>
      <w:r>
        <w:t xml:space="preserve">Scope: Treat </w:t>
      </w:r>
      <w:bookmarkStart w:id="1" w:name="_Hlk41999992"/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Hyperlink"/>
        </w:rPr>
        <w:t>R2-2004434</w:t>
      </w:r>
      <w:r>
        <w:rPr>
          <w:rStyle w:val="Hyperlink"/>
        </w:rPr>
        <w:fldChar w:fldCharType="end"/>
      </w:r>
      <w:r>
        <w:t xml:space="preserve">, </w:t>
      </w:r>
      <w:hyperlink r:id="rId9" w:history="1">
        <w:r>
          <w:rPr>
            <w:rStyle w:val="Hyperlink"/>
          </w:rPr>
          <w:t>R2-2004435</w:t>
        </w:r>
      </w:hyperlink>
      <w:r>
        <w:t xml:space="preserve">, </w:t>
      </w:r>
      <w:hyperlink r:id="rId10" w:history="1">
        <w:r>
          <w:rPr>
            <w:rStyle w:val="Hyperlink"/>
          </w:rPr>
          <w:t>R2-2005360</w:t>
        </w:r>
      </w:hyperlink>
      <w:r>
        <w:t xml:space="preserve">, </w:t>
      </w:r>
      <w:hyperlink r:id="rId11" w:history="1">
        <w:r>
          <w:rPr>
            <w:rStyle w:val="Hyperlink"/>
          </w:rPr>
          <w:t>R2-2005361</w:t>
        </w:r>
      </w:hyperlink>
      <w:bookmarkEnd w:id="1"/>
      <w:r>
        <w:t xml:space="preserve">, </w:t>
      </w:r>
      <w:bookmarkStart w:id="2" w:name="_Hlk42000260"/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Hyperlink"/>
        </w:rPr>
        <w:t>R2-2004971</w:t>
      </w:r>
      <w:r>
        <w:rPr>
          <w:rStyle w:val="Hyperlink"/>
        </w:rPr>
        <w:fldChar w:fldCharType="end"/>
      </w:r>
      <w:r>
        <w:t xml:space="preserve">, </w:t>
      </w:r>
      <w:hyperlink r:id="rId12" w:history="1">
        <w:r>
          <w:rPr>
            <w:rStyle w:val="Hyperlink"/>
          </w:rPr>
          <w:t>R2-2005579</w:t>
        </w:r>
      </w:hyperlink>
      <w:r>
        <w:t xml:space="preserve">, </w:t>
      </w:r>
      <w:hyperlink r:id="rId13" w:history="1">
        <w:r>
          <w:rPr>
            <w:rStyle w:val="Hyperlink"/>
          </w:rPr>
          <w:t>R2-2005580</w:t>
        </w:r>
      </w:hyperlink>
      <w:bookmarkEnd w:id="2"/>
      <w:r>
        <w:t xml:space="preserve"> (proponents are responsible to explain and drive)</w:t>
      </w:r>
    </w:p>
    <w:p w14:paraId="76252F87" w14:textId="77777777" w:rsidR="00D04D6E" w:rsidRDefault="0044387D">
      <w:pPr>
        <w:pStyle w:val="EmailDiscussion2"/>
        <w:ind w:leftChars="255" w:left="510"/>
      </w:pPr>
      <w:r>
        <w:t xml:space="preserve">Part 1: Decision whether to make corrections or not, identify agreeable corrections. Deadline: June 4, 0700 UTC. </w:t>
      </w:r>
    </w:p>
    <w:p w14:paraId="0B9D348C" w14:textId="77777777" w:rsidR="00D04D6E" w:rsidRDefault="0044387D">
      <w:pPr>
        <w:pStyle w:val="EmailDiscussion2"/>
        <w:ind w:leftChars="255" w:left="510"/>
      </w:pPr>
      <w:r>
        <w:t>Part 2: For agreeable parts, continuation to agree CRs. Deadline: June 10, 0700 UTC</w:t>
      </w:r>
    </w:p>
    <w:p w14:paraId="28F5A4EB" w14:textId="77777777" w:rsidR="00D04D6E" w:rsidRDefault="00D04D6E">
      <w:pPr>
        <w:pStyle w:val="Doc-text2"/>
        <w:ind w:left="0" w:firstLine="0"/>
      </w:pPr>
    </w:p>
    <w:p w14:paraId="72C49ED7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t>June 4, 0700 UTC</w:t>
      </w:r>
      <w:r>
        <w:rPr>
          <w:lang w:eastAsia="zh-CN"/>
        </w:rPr>
        <w:t>)</w:t>
      </w:r>
    </w:p>
    <w:p w14:paraId="7C0E8547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he issue of SRS antenna switching capability during SRS carrier is switched to SRS only </w:t>
      </w:r>
      <w:proofErr w:type="spellStart"/>
      <w:r>
        <w:rPr>
          <w:rFonts w:eastAsiaTheme="minorEastAsia"/>
          <w:sz w:val="22"/>
          <w:szCs w:val="22"/>
          <w:lang w:val="en-US" w:eastAsia="ja-JP"/>
        </w:rPr>
        <w:t>SCell</w:t>
      </w:r>
      <w:proofErr w:type="spellEnd"/>
      <w:r>
        <w:rPr>
          <w:rFonts w:eastAsiaTheme="minorEastAsia"/>
          <w:sz w:val="22"/>
          <w:szCs w:val="22"/>
          <w:lang w:val="en-US" w:eastAsia="ja-JP"/>
        </w:rPr>
        <w:t xml:space="preserve"> was discussed in RAN2#109bis-e.</w:t>
      </w:r>
    </w:p>
    <w:p w14:paraId="541BF9A4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Solution for NR</w:t>
      </w:r>
    </w:p>
    <w:p w14:paraId="5044E45D" w14:textId="77777777" w:rsidR="00D04D6E" w:rsidRDefault="0044387D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In this meeting, two solutions were submitted.</w:t>
      </w:r>
    </w:p>
    <w:p w14:paraId="7DF9B12D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1:</w:t>
      </w:r>
      <w:r>
        <w:rPr>
          <w:rFonts w:eastAsiaTheme="minorEastAsia"/>
          <w:sz w:val="22"/>
          <w:szCs w:val="22"/>
          <w:lang w:val="en-US" w:eastAsia="ja-JP"/>
        </w:rPr>
        <w:tab/>
        <w:t>Reuse the LTE solution (</w:t>
      </w:r>
      <w:hyperlink r:id="rId14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R2-2004434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5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R2-2005360</w:t>
        </w:r>
      </w:hyperlink>
      <w:r>
        <w:rPr>
          <w:rFonts w:eastAsiaTheme="minorEastAsia"/>
          <w:sz w:val="22"/>
          <w:szCs w:val="22"/>
          <w:lang w:val="en-US" w:eastAsia="ja-JP"/>
        </w:rPr>
        <w:t>; Qualcomm Incorporated)</w:t>
      </w:r>
    </w:p>
    <w:p w14:paraId="6F0F130A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2:</w:t>
      </w:r>
      <w:r>
        <w:rPr>
          <w:rFonts w:eastAsiaTheme="minorEastAsia"/>
          <w:sz w:val="22"/>
          <w:szCs w:val="22"/>
          <w:lang w:val="en-US" w:eastAsia="ja-JP"/>
        </w:rPr>
        <w:tab/>
        <w:t xml:space="preserve">Allow the UE to signal SRS antenna switching capability for a band where </w:t>
      </w:r>
      <w:proofErr w:type="spellStart"/>
      <w:r>
        <w:rPr>
          <w:rFonts w:eastAsiaTheme="minorEastAsia"/>
          <w:i/>
          <w:iCs/>
          <w:sz w:val="22"/>
          <w:szCs w:val="22"/>
          <w:lang w:val="en-US" w:eastAsia="ja-JP"/>
        </w:rPr>
        <w:t>FeatureSetUplinkId</w:t>
      </w:r>
      <w:proofErr w:type="spellEnd"/>
      <w:r>
        <w:rPr>
          <w:rFonts w:eastAsiaTheme="minorEastAsia"/>
          <w:sz w:val="22"/>
          <w:szCs w:val="22"/>
          <w:lang w:val="en-US" w:eastAsia="ja-JP"/>
        </w:rPr>
        <w:t xml:space="preserve"> set to 0 (</w:t>
      </w:r>
      <w:hyperlink r:id="rId16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R2-2004971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7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R2-2005579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8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R2-2005580</w:t>
        </w:r>
      </w:hyperlink>
      <w:r>
        <w:rPr>
          <w:rFonts w:eastAsiaTheme="minorEastAsia"/>
          <w:sz w:val="22"/>
          <w:szCs w:val="22"/>
          <w:lang w:val="en-US" w:eastAsia="ja-JP"/>
        </w:rPr>
        <w:t>, Huawei et al.)</w:t>
      </w:r>
    </w:p>
    <w:p w14:paraId="305A650A" w14:textId="77777777" w:rsidR="00D04D6E" w:rsidRDefault="00D04D6E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</w:p>
    <w:p w14:paraId="16E2F498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any of the solutions above.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0BD73259" w14:textId="77777777">
        <w:tc>
          <w:tcPr>
            <w:tcW w:w="2122" w:type="dxa"/>
          </w:tcPr>
          <w:p w14:paraId="1BCE3B65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1C952CE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 to</w:t>
            </w:r>
          </w:p>
          <w:p w14:paraId="337A7CC2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olution 1 / 2</w:t>
            </w:r>
          </w:p>
        </w:tc>
        <w:tc>
          <w:tcPr>
            <w:tcW w:w="5950" w:type="dxa"/>
          </w:tcPr>
          <w:p w14:paraId="7D10E2B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0808AF59" w14:textId="77777777">
        <w:tc>
          <w:tcPr>
            <w:tcW w:w="2122" w:type="dxa"/>
          </w:tcPr>
          <w:p w14:paraId="59B3311C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4A6FE2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olution 2</w:t>
            </w:r>
          </w:p>
        </w:tc>
        <w:tc>
          <w:tcPr>
            <w:tcW w:w="5950" w:type="dxa"/>
          </w:tcPr>
          <w:p w14:paraId="4152295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solution 2 is indeed simpler and better than the solution implemented in LTE. We are ready to withdraw solution 1.</w:t>
            </w:r>
          </w:p>
        </w:tc>
      </w:tr>
      <w:tr w:rsidR="00D04D6E" w14:paraId="02EBFD29" w14:textId="77777777">
        <w:tc>
          <w:tcPr>
            <w:tcW w:w="2122" w:type="dxa"/>
          </w:tcPr>
          <w:p w14:paraId="503B9A69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1559" w:type="dxa"/>
          </w:tcPr>
          <w:p w14:paraId="199F8703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="DengXian"/>
                <w:sz w:val="22"/>
                <w:szCs w:val="22"/>
                <w:lang w:eastAsia="zh-CN"/>
              </w:rPr>
              <w:t>olution 2</w:t>
            </w:r>
          </w:p>
        </w:tc>
        <w:tc>
          <w:tcPr>
            <w:tcW w:w="5950" w:type="dxa"/>
          </w:tcPr>
          <w:p w14:paraId="180B41E7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="DengXian"/>
                <w:sz w:val="22"/>
                <w:szCs w:val="22"/>
                <w:lang w:eastAsia="zh-CN"/>
              </w:rPr>
              <w:t>roponent. We think this solution is simpler and would not require extra complexity from the NW side to identify two associated BCs.</w:t>
            </w:r>
          </w:p>
        </w:tc>
      </w:tr>
      <w:tr w:rsidR="00D04D6E" w14:paraId="0434C626" w14:textId="77777777">
        <w:tc>
          <w:tcPr>
            <w:tcW w:w="2122" w:type="dxa"/>
          </w:tcPr>
          <w:p w14:paraId="325BB0E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559" w:type="dxa"/>
          </w:tcPr>
          <w:p w14:paraId="029DC7A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Solution 2</w:t>
            </w:r>
          </w:p>
        </w:tc>
        <w:tc>
          <w:tcPr>
            <w:tcW w:w="5950" w:type="dxa"/>
          </w:tcPr>
          <w:p w14:paraId="7A009A8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 with the above comments that solution 2 is simpler.</w:t>
            </w:r>
          </w:p>
        </w:tc>
      </w:tr>
      <w:tr w:rsidR="00D04D6E" w14:paraId="78512AA4" w14:textId="77777777">
        <w:tc>
          <w:tcPr>
            <w:tcW w:w="2122" w:type="dxa"/>
          </w:tcPr>
          <w:p w14:paraId="77A2648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2BF6E51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39BF3B42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The solution 2 is simpler and clearer than the solution 1.</w:t>
            </w:r>
          </w:p>
        </w:tc>
      </w:tr>
      <w:tr w:rsidR="00D04D6E" w14:paraId="4C500084" w14:textId="77777777">
        <w:tc>
          <w:tcPr>
            <w:tcW w:w="2122" w:type="dxa"/>
          </w:tcPr>
          <w:p w14:paraId="5CDDC35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29C0B38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Solution 2</w:t>
            </w:r>
          </w:p>
        </w:tc>
        <w:tc>
          <w:tcPr>
            <w:tcW w:w="5950" w:type="dxa"/>
          </w:tcPr>
          <w:p w14:paraId="77672DAB" w14:textId="77777777" w:rsidR="00D04D6E" w:rsidRDefault="0044387D">
            <w:pPr>
              <w:tabs>
                <w:tab w:val="left" w:pos="1971"/>
              </w:tabs>
              <w:rPr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We agree that the solution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is simple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. The solution 2 may  have some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limitation to the UE RF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our paper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</w:t>
            </w:r>
            <w:hyperlink r:id="rId19" w:history="1">
              <w:r>
                <w:rPr>
                  <w:rFonts w:ascii="Arial" w:hAnsi="Arial" w:cs="Arial"/>
                  <w:sz w:val="21"/>
                  <w:szCs w:val="21"/>
                  <w:lang w:val="en-US" w:eastAsia="ja-JP"/>
                </w:rPr>
                <w:t>R2-2004971</w:t>
              </w:r>
            </w:hyperlink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analyzed. Anyway, if the solution 2 could be accepted by UE vendors, it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s also OK for us.</w:t>
            </w:r>
          </w:p>
        </w:tc>
      </w:tr>
      <w:tr w:rsidR="00D04D6E" w14:paraId="366C5416" w14:textId="77777777">
        <w:tc>
          <w:tcPr>
            <w:tcW w:w="2122" w:type="dxa"/>
          </w:tcPr>
          <w:p w14:paraId="3430AA7C" w14:textId="2C8ED44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4A092B6A" w14:textId="7A1953DF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comments</w:t>
            </w:r>
          </w:p>
        </w:tc>
        <w:tc>
          <w:tcPr>
            <w:tcW w:w="5950" w:type="dxa"/>
          </w:tcPr>
          <w:p w14:paraId="0AAD1CF3" w14:textId="08D59478" w:rsidR="00D04D6E" w:rsidRDefault="0003640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Before selecting solution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, we would like to clarify one thing. From the ASN.1, it is seen UE can report a list of source bands (from which the SRS carrier switch is performed), and UE only report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one set of SRS antenna switch capability (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inlcuidng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txSwitchImpactToRx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proofErr w:type="spellEnd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) for th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e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particular target band. We are wondering how could UE properly report the SRS antenna switch </w:t>
            </w:r>
            <w:proofErr w:type="spellStart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capabilty</w:t>
            </w:r>
            <w:proofErr w:type="spellEnd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set to the target band, since different source bands have different capabilit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 SRS antenna switch.</w:t>
            </w:r>
          </w:p>
          <w:p w14:paraId="7C11AF1C" w14:textId="4A3CDA52" w:rsidR="002D2561" w:rsidRDefault="007E2D85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For example, for a BC A+B+C, both A and B can operate as source band. For target band C which has no UL feature set, how 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would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UE indicate the SRS antenna switch capability? 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Please 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ote that UE should indicate three kinds of UE capability: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txSwitchImpactToRx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proofErr w:type="spellEnd"/>
            <w:r w:rsidR="00DB1350">
              <w:rPr>
                <w:rFonts w:eastAsiaTheme="minorEastAsia"/>
                <w:sz w:val="22"/>
                <w:szCs w:val="22"/>
                <w:lang w:eastAsia="ja-JP"/>
              </w:rPr>
              <w:t xml:space="preserve">.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From an initial thinking, my understanding is the last two parameters may be not relevant to source band, since the 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extra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>RF chain is now dedicated to the target band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and may be not coupled with other bands in the target BC when performing SRS antenna switch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. But I am not 100% sure. </w:t>
            </w:r>
          </w:p>
          <w:p w14:paraId="10984732" w14:textId="77777777" w:rsidR="00DB1350" w:rsidRDefault="00A526E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However, the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should be largely dependent to the UE capability on source band.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That is to say, dependent to which band (A or B) is the source band, </w:t>
            </w:r>
            <w:proofErr w:type="spellStart"/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supportedSRS-TxPorstSwitch</w:t>
            </w:r>
            <w:proofErr w:type="spellEnd"/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capability on band C should be different.</w:t>
            </w:r>
          </w:p>
          <w:p w14:paraId="5CD36F93" w14:textId="2EA66FFE" w:rsidR="00FD0954" w:rsidRPr="00A526EF" w:rsidRDefault="00FD0954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Then how solution 2 handles this?</w:t>
            </w:r>
          </w:p>
        </w:tc>
      </w:tr>
      <w:tr w:rsidR="006A47B2" w14:paraId="263E7000" w14:textId="77777777">
        <w:tc>
          <w:tcPr>
            <w:tcW w:w="2122" w:type="dxa"/>
          </w:tcPr>
          <w:p w14:paraId="2A757AD7" w14:textId="4E7BD9D6" w:rsidR="006A47B2" w:rsidRDefault="006A47B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</w:p>
        </w:tc>
        <w:tc>
          <w:tcPr>
            <w:tcW w:w="1559" w:type="dxa"/>
          </w:tcPr>
          <w:p w14:paraId="77F65794" w14:textId="5AC8970F" w:rsidR="006A47B2" w:rsidRDefault="006A47B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408AC1ED" w14:textId="1F2DCF24" w:rsidR="006A47B2" w:rsidRDefault="004E330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Similar view as Huawei.</w:t>
            </w:r>
          </w:p>
        </w:tc>
      </w:tr>
    </w:tbl>
    <w:p w14:paraId="74E2A93B" w14:textId="77777777" w:rsidR="00D04D6E" w:rsidRDefault="00D04D6E">
      <w:pPr>
        <w:rPr>
          <w:rFonts w:eastAsiaTheme="minorEastAsia"/>
          <w:sz w:val="22"/>
          <w:szCs w:val="22"/>
          <w:lang w:eastAsia="ja-JP"/>
        </w:rPr>
      </w:pPr>
    </w:p>
    <w:p w14:paraId="36832316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Clarification for LTE (</w:t>
      </w:r>
      <w:hyperlink r:id="rId20" w:history="1">
        <w:r>
          <w:rPr>
            <w:rStyle w:val="Hyperlink"/>
            <w:rFonts w:eastAsia="MS Mincho"/>
          </w:rPr>
          <w:t>R2-2004435</w:t>
        </w:r>
      </w:hyperlink>
      <w:r>
        <w:rPr>
          <w:lang w:val="en-US" w:eastAsia="zh-CN"/>
        </w:rPr>
        <w:t xml:space="preserve">, </w:t>
      </w:r>
      <w:hyperlink r:id="rId21" w:history="1">
        <w:r>
          <w:rPr>
            <w:rStyle w:val="Hyperlink"/>
            <w:rFonts w:eastAsia="MS Mincho"/>
          </w:rPr>
          <w:t>R2-2005361</w:t>
        </w:r>
      </w:hyperlink>
      <w:r>
        <w:rPr>
          <w:lang w:eastAsia="zh-CN"/>
        </w:rPr>
        <w:t>)</w:t>
      </w:r>
    </w:p>
    <w:p w14:paraId="5FE5D723" w14:textId="77777777" w:rsidR="00D04D6E" w:rsidRDefault="0044387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Based on the company comments seen in RAN2#109bis-e meeting, clarification to LTE specification is proposed (</w:t>
      </w:r>
      <w:bookmarkStart w:id="3" w:name="_Hlk42000912"/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Hyperlink"/>
          <w:sz w:val="22"/>
          <w:szCs w:val="22"/>
        </w:rPr>
        <w:t>R2-2004435</w:t>
      </w:r>
      <w:r>
        <w:rPr>
          <w:rStyle w:val="Hyperlink"/>
          <w:sz w:val="22"/>
          <w:szCs w:val="22"/>
        </w:rPr>
        <w:fldChar w:fldCharType="end"/>
      </w:r>
      <w:r>
        <w:rPr>
          <w:rStyle w:val="Hyperlink"/>
          <w:sz w:val="22"/>
          <w:szCs w:val="22"/>
          <w:u w:val="none"/>
        </w:rPr>
        <w:t xml:space="preserve">, </w:t>
      </w:r>
      <w:hyperlink r:id="rId22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R2-2005361</w:t>
        </w:r>
      </w:hyperlink>
      <w:bookmarkEnd w:id="3"/>
      <w:r>
        <w:rPr>
          <w:rFonts w:eastAsiaTheme="minorEastAsia"/>
          <w:sz w:val="22"/>
          <w:szCs w:val="22"/>
          <w:lang w:eastAsia="ja-JP"/>
        </w:rPr>
        <w:t xml:space="preserve">; Qualcomm Incorporated). </w:t>
      </w:r>
      <w:r>
        <w:rPr>
          <w:rFonts w:eastAsiaTheme="minorEastAsia" w:hint="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he intention is to clarify how the target band combination where the antenna switching capability is applicable during SRS carrier is switched can be identified.</w:t>
      </w:r>
    </w:p>
    <w:p w14:paraId="0F7B32E2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the CRs.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22BFF54F" w14:textId="77777777">
        <w:tc>
          <w:tcPr>
            <w:tcW w:w="2122" w:type="dxa"/>
          </w:tcPr>
          <w:p w14:paraId="045BC16D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4F182459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6C375B8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67B88CF4" w14:textId="77777777">
        <w:tc>
          <w:tcPr>
            <w:tcW w:w="2122" w:type="dxa"/>
          </w:tcPr>
          <w:p w14:paraId="39329D7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ualcomm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>Incorporated</w:t>
            </w:r>
          </w:p>
        </w:tc>
        <w:tc>
          <w:tcPr>
            <w:tcW w:w="1559" w:type="dxa"/>
          </w:tcPr>
          <w:p w14:paraId="65CF6F7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lastRenderedPageBreak/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gree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>(proponent)</w:t>
            </w:r>
          </w:p>
        </w:tc>
        <w:tc>
          <w:tcPr>
            <w:tcW w:w="5950" w:type="dxa"/>
          </w:tcPr>
          <w:p w14:paraId="61F3F9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lastRenderedPageBreak/>
              <w:t>F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or LTE, we should stick to the current solution and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>clarification should be done on top of it.</w:t>
            </w:r>
          </w:p>
        </w:tc>
      </w:tr>
      <w:tr w:rsidR="00D04D6E" w14:paraId="7A794C68" w14:textId="77777777">
        <w:tc>
          <w:tcPr>
            <w:tcW w:w="2122" w:type="dxa"/>
          </w:tcPr>
          <w:p w14:paraId="2E044F79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="DengXian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1559" w:type="dxa"/>
          </w:tcPr>
          <w:p w14:paraId="76699ED5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="DengXian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950" w:type="dxa"/>
          </w:tcPr>
          <w:p w14:paraId="4CFF5554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DengXian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DengXian"/>
                <w:sz w:val="22"/>
                <w:szCs w:val="22"/>
                <w:lang w:eastAsia="zh-CN"/>
              </w:rPr>
              <w:t>es</w:t>
            </w:r>
            <w:proofErr w:type="gramEnd"/>
            <w:r>
              <w:rPr>
                <w:rFonts w:eastAsia="DengXian"/>
                <w:sz w:val="22"/>
                <w:szCs w:val="22"/>
                <w:lang w:eastAsia="zh-CN"/>
              </w:rPr>
              <w:t xml:space="preserve"> this is our understanding and the clarification could help consistent understanding between the UE and the NW.</w:t>
            </w:r>
          </w:p>
        </w:tc>
      </w:tr>
      <w:tr w:rsidR="00D04D6E" w14:paraId="1883D0A4" w14:textId="77777777">
        <w:tc>
          <w:tcPr>
            <w:tcW w:w="2122" w:type="dxa"/>
          </w:tcPr>
          <w:p w14:paraId="1A752A4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1BE34F8B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950" w:type="dxa"/>
          </w:tcPr>
          <w:p w14:paraId="7A6F3CFE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D04D6E" w14:paraId="59F7C833" w14:textId="77777777">
        <w:tc>
          <w:tcPr>
            <w:tcW w:w="2122" w:type="dxa"/>
          </w:tcPr>
          <w:p w14:paraId="13E7DA81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40B63FCF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2ABAC3D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For LTE, the current solution needs this clarification for common understanding between the UE and the network.</w:t>
            </w:r>
          </w:p>
        </w:tc>
      </w:tr>
      <w:tr w:rsidR="00D04D6E" w14:paraId="49233604" w14:textId="77777777">
        <w:tc>
          <w:tcPr>
            <w:tcW w:w="2122" w:type="dxa"/>
          </w:tcPr>
          <w:p w14:paraId="11C8361B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8D05AA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Agree</w:t>
            </w:r>
          </w:p>
        </w:tc>
        <w:tc>
          <w:tcPr>
            <w:tcW w:w="5950" w:type="dxa"/>
          </w:tcPr>
          <w:p w14:paraId="7C32EFB7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Yes, we think this clarification is needed.</w:t>
            </w:r>
          </w:p>
        </w:tc>
      </w:tr>
      <w:tr w:rsidR="00D04D6E" w14:paraId="69A6CF5F" w14:textId="77777777">
        <w:tc>
          <w:tcPr>
            <w:tcW w:w="2122" w:type="dxa"/>
          </w:tcPr>
          <w:p w14:paraId="66DC1F14" w14:textId="06ADB55E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25A12420" w14:textId="10F4DED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31F39BA5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0206E" w14:paraId="11421884" w14:textId="77777777">
        <w:tc>
          <w:tcPr>
            <w:tcW w:w="2122" w:type="dxa"/>
          </w:tcPr>
          <w:p w14:paraId="184A3DA0" w14:textId="0775ED18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bookmarkStart w:id="4" w:name="_GoBack"/>
            <w:bookmarkEnd w:id="4"/>
            <w:r w:rsidRPr="00BE2CA1">
              <w:t>Ericsson</w:t>
            </w:r>
          </w:p>
        </w:tc>
        <w:tc>
          <w:tcPr>
            <w:tcW w:w="1559" w:type="dxa"/>
          </w:tcPr>
          <w:p w14:paraId="732AE270" w14:textId="1CA0E0C4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Agree</w:t>
            </w:r>
          </w:p>
        </w:tc>
        <w:tc>
          <w:tcPr>
            <w:tcW w:w="5950" w:type="dxa"/>
          </w:tcPr>
          <w:p w14:paraId="4F3DCF2F" w14:textId="19CAF7DE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We think the clarification is beneficial</w:t>
            </w:r>
          </w:p>
        </w:tc>
      </w:tr>
    </w:tbl>
    <w:p w14:paraId="3F6E65D3" w14:textId="77777777" w:rsidR="00D04D6E" w:rsidRDefault="00D04D6E">
      <w:pPr>
        <w:spacing w:beforeLines="50" w:before="120"/>
        <w:rPr>
          <w:sz w:val="22"/>
          <w:szCs w:val="22"/>
          <w:lang w:val="en-US" w:eastAsia="zh-CN"/>
        </w:rPr>
      </w:pPr>
    </w:p>
    <w:p w14:paraId="0945223A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>Part 2 (by June 10, 0700 UTC)</w:t>
      </w:r>
    </w:p>
    <w:p w14:paraId="3C3EC4FE" w14:textId="77777777" w:rsidR="00D04D6E" w:rsidRDefault="0044387D">
      <w:pPr>
        <w:rPr>
          <w:lang w:eastAsia="ja-JP"/>
        </w:rPr>
      </w:pPr>
      <w:proofErr w:type="spellStart"/>
      <w:r>
        <w:rPr>
          <w:lang w:eastAsia="ja-JP"/>
        </w:rPr>
        <w:t>Xxxxxxxxxx</w:t>
      </w:r>
      <w:proofErr w:type="spellEnd"/>
    </w:p>
    <w:p w14:paraId="4F180769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67E11764" w14:textId="77777777" w:rsidR="00D04D6E" w:rsidRDefault="0044387D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14:paraId="414B45C6" w14:textId="77777777" w:rsidR="00D04D6E" w:rsidRDefault="0044387D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FC08CBA" w14:textId="77777777" w:rsidR="00D04D6E" w:rsidRDefault="0044387D">
      <w:pPr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 w:hint="eastAsia"/>
          <w:sz w:val="21"/>
          <w:szCs w:val="21"/>
          <w:lang w:eastAsia="ja-JP"/>
        </w:rPr>
        <w:t>[</w:t>
      </w:r>
      <w:r>
        <w:rPr>
          <w:rFonts w:eastAsiaTheme="minorEastAsia"/>
          <w:sz w:val="21"/>
          <w:szCs w:val="21"/>
          <w:lang w:eastAsia="ja-JP"/>
        </w:rPr>
        <w:t>1]</w:t>
      </w:r>
      <w:r>
        <w:rPr>
          <w:rFonts w:eastAsiaTheme="minorEastAsia"/>
          <w:sz w:val="21"/>
          <w:szCs w:val="21"/>
          <w:lang w:eastAsia="ja-JP"/>
        </w:rPr>
        <w:tab/>
      </w:r>
      <w:r>
        <w:rPr>
          <w:rFonts w:eastAsiaTheme="minorEastAsia"/>
          <w:sz w:val="21"/>
          <w:szCs w:val="21"/>
          <w:lang w:eastAsia="ja-JP"/>
        </w:rPr>
        <w:tab/>
      </w:r>
    </w:p>
    <w:p w14:paraId="18E3A692" w14:textId="77777777" w:rsidR="00D04D6E" w:rsidRDefault="00D04D6E">
      <w:pPr>
        <w:rPr>
          <w:rFonts w:eastAsiaTheme="minorEastAsia"/>
          <w:sz w:val="21"/>
          <w:szCs w:val="21"/>
          <w:lang w:eastAsia="ja-JP"/>
        </w:rPr>
      </w:pPr>
    </w:p>
    <w:sectPr w:rsidR="00D04D6E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18DA4" w14:textId="77777777" w:rsidR="0071284F" w:rsidRDefault="0071284F">
      <w:pPr>
        <w:spacing w:after="0"/>
      </w:pPr>
      <w:r>
        <w:separator/>
      </w:r>
    </w:p>
  </w:endnote>
  <w:endnote w:type="continuationSeparator" w:id="0">
    <w:p w14:paraId="2AF7F285" w14:textId="77777777" w:rsidR="0071284F" w:rsidRDefault="007128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BFFB" w14:textId="77777777" w:rsidR="00D04D6E" w:rsidRDefault="004438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EBDCD" w14:textId="77777777" w:rsidR="0071284F" w:rsidRDefault="0071284F">
      <w:pPr>
        <w:spacing w:after="0"/>
      </w:pPr>
      <w:r>
        <w:separator/>
      </w:r>
    </w:p>
  </w:footnote>
  <w:footnote w:type="continuationSeparator" w:id="0">
    <w:p w14:paraId="0CE89F0C" w14:textId="77777777" w:rsidR="0071284F" w:rsidRDefault="007128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06E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40C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0EB1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D23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D5D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D26"/>
    <w:rsid w:val="002D1D19"/>
    <w:rsid w:val="002D2561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3F79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B27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C72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87D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1F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980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88A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3302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7B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84F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2D8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A82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680F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255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26E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8E7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1E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5075"/>
    <w:rsid w:val="00C35CC3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4D6E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221E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1350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A9A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54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DBD3A01"/>
    <w:rsid w:val="682E2B39"/>
    <w:rsid w:val="6BB17193"/>
    <w:rsid w:val="762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E8CFB5"/>
  <w15:docId w15:val="{FD461759-E0EB-A344-AB17-4EDBB5C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10">
    <w:name w:val="未处理的提及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ran/WG2_RL2/TSGR2_110-e/Docs/R2-2005580.zip" TargetMode="External"/><Relationship Id="rId18" Type="http://schemas.openxmlformats.org/officeDocument/2006/relationships/hyperlink" Target="http://www.3gpp.org/ftp/tsg_ran/WG2_RL2/TSGR2_110-e/Docs/R2-2005580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3gpp.org/ftp/tsg_ran/WG2_RL2/TSGR2_110-e/Docs/R2-2005361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ran/WG2_RL2/TSGR2_110-e/Docs/R2-2005579.zip" TargetMode="External"/><Relationship Id="rId17" Type="http://schemas.openxmlformats.org/officeDocument/2006/relationships/hyperlink" Target="http://www.3gpp.org/ftp/tsg_ran/WG2_RL2/TSGR2_110-e/Docs/R2-2005579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10-e/Docs/R2-2004971.zip" TargetMode="External"/><Relationship Id="rId20" Type="http://schemas.openxmlformats.org/officeDocument/2006/relationships/hyperlink" Target="http://www.3gpp.org/ftp/tsg_ran/WG2_RL2/TSGR2_110-e/Docs/R2-2004435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tsg_ran/WG2_RL2/TSGR2_110-e/Docs/R2-2005361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tsg_ran/WG2_RL2/TSGR2_110-e/Docs/R2-2005360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3gpp.org/ftp/tsg_ran/WG2_RL2/TSGR2_110-e/Docs/R2-2005360.zip" TargetMode="External"/><Relationship Id="rId19" Type="http://schemas.openxmlformats.org/officeDocument/2006/relationships/hyperlink" Target="http://www.3gpp.org/ftp/tsg_ran/WG2_RL2/TSGR2_110-e/Docs/R2-2004971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10-e/Docs/R2-2004435.zip" TargetMode="External"/><Relationship Id="rId14" Type="http://schemas.openxmlformats.org/officeDocument/2006/relationships/hyperlink" Target="http://www.3gpp.org/ftp/tsg_ran/WG2_RL2/TSGR2_110-e/Docs/R2-2004434.zip" TargetMode="External"/><Relationship Id="rId22" Type="http://schemas.openxmlformats.org/officeDocument/2006/relationships/hyperlink" Target="http://www.3gpp.org/ftp/tsg_ran/WG2_RL2/TSGR2_110-e/Docs/R2-20053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476B9-695D-40A1-BE01-C2E7938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Ericsson</cp:lastModifiedBy>
  <cp:revision>2</cp:revision>
  <cp:lastPrinted>2009-04-22T00:01:00Z</cp:lastPrinted>
  <dcterms:created xsi:type="dcterms:W3CDTF">2020-06-03T18:19:00Z</dcterms:created>
  <dcterms:modified xsi:type="dcterms:W3CDTF">2020-06-03T18:19:00Z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1590588502</vt:lpwstr>
  </property>
  <property fmtid="{D5CDD505-2E9C-101B-9397-08002B2CF9AE}" pid="13" name="_2015_ms_pID_725343">
    <vt:lpwstr>(2)jrumpryH1p287fcuI4+gDCvgOhZjLCcDOMzqOkjp+ps37/YCsmXZ2SzIcUKyBbap1TnK6dgQ
h21HnAAtwP9huix1plRMX/krJRlAkKXrIs5BkE+D7nsgHRTg07Zfq4w4rAzxykGfcTbdClxZ
Z5be9Ue4F4UxiHvZa4/BJGNfAewvCA9DpAONU6XKyTicS7yvGwXKbEy+WamPWL0j3GISzy4c
VfBs7NZlw6VMKBm41l</vt:lpwstr>
  </property>
  <property fmtid="{D5CDD505-2E9C-101B-9397-08002B2CF9AE}" pid="14" name="_2015_ms_pID_7253431">
    <vt:lpwstr>UKRmAIReKOPU20LL/GhObYAIT+5lk3gy+P/Z+Kxueavd9azAPSSACp
/QNTbmHT+y+pI05VJ4mh67Ce9IiA+UBDrYAZcvtNsnk06TalSqHko6uSu5xQ8s4Nf4HkMdHS
OZ25lCXtb0+crKZvz9ZDR/LRHYbdwm0Fk4rpbvj4Pr2ftQ8b7KelMdeGepzxiwjD3b+Rj0eY
bAxSxXcxEmDWAhn5</vt:lpwstr>
  </property>
  <property fmtid="{D5CDD505-2E9C-101B-9397-08002B2CF9AE}" pid="15" name="KSOProductBuildVer">
    <vt:lpwstr>2052-11.8.2.8696</vt:lpwstr>
  </property>
</Properties>
</file>