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1A111" w14:textId="49767266" w:rsidR="00DD3E0B" w:rsidRPr="00DD7850" w:rsidRDefault="00DD3E0B" w:rsidP="00DD3E0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bookmarkStart w:id="0" w:name="_GoBack"/>
      <w:bookmarkEnd w:id="0"/>
    </w:p>
    <w:p w14:paraId="278CE26B" w14:textId="77777777" w:rsidR="00DD3E0B" w:rsidRPr="00DD7850" w:rsidRDefault="00DD3E0B" w:rsidP="00DD3E0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62D6E328" w14:textId="77777777" w:rsidR="00DD3E0B" w:rsidRPr="00DD7850" w:rsidRDefault="00DD3E0B" w:rsidP="00DD3E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8D56FE3" w14:textId="77777777" w:rsidR="00DD3E0B" w:rsidRPr="00DD7850" w:rsidRDefault="00DD3E0B" w:rsidP="00DD3E0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A2B798B" w14:textId="5A00E0DF" w:rsidR="007E523D" w:rsidRPr="007D0D8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F84AF9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1</w:t>
      </w:r>
      <w:r w:rsidRPr="00F84AF9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</w:t>
      </w:r>
      <w:r w:rsidR="000D32EC">
        <w:rPr>
          <w:rFonts w:ascii="Arial" w:hAnsi="Arial" w:cs="Arial"/>
          <w:b/>
          <w:bCs/>
          <w:sz w:val="22"/>
        </w:rPr>
        <w:t>0</w:t>
      </w:r>
      <w:r w:rsidR="007D0D8D">
        <w:rPr>
          <w:rFonts w:ascii="Arial" w:hAnsi="Arial" w:cs="Arial"/>
          <w:b/>
          <w:bCs/>
          <w:sz w:val="22"/>
        </w:rPr>
        <w:t>1421</w:t>
      </w:r>
    </w:p>
    <w:p w14:paraId="0E55BD7B" w14:textId="1658F6D1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 w:rsidR="00491109">
        <w:rPr>
          <w:rFonts w:ascii="Arial" w:hAnsi="Arial" w:cs="Arial"/>
          <w:b/>
          <w:bCs/>
          <w:sz w:val="22"/>
        </w:rPr>
        <w:t>, 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7FB9C19E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942FA">
        <w:rPr>
          <w:rFonts w:ascii="Arial" w:hAnsi="Arial" w:cs="Arial"/>
          <w:bCs/>
        </w:rPr>
        <w:t xml:space="preserve">uplink power control </w:t>
      </w:r>
      <w:r w:rsidR="006942FA" w:rsidRPr="006942FA">
        <w:rPr>
          <w:rFonts w:ascii="Arial" w:hAnsi="Arial" w:cs="Arial"/>
          <w:bCs/>
        </w:rPr>
        <w:t>for NR-NR Dual-Connectivity</w:t>
      </w:r>
    </w:p>
    <w:p w14:paraId="0AA05E54" w14:textId="505CA62D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454F6594" w14:textId="17BCA972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</w:t>
      </w:r>
      <w:r w:rsidR="00613670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6942FA">
        <w:rPr>
          <w:rFonts w:ascii="Arial" w:hAnsi="Arial" w:cs="Arial"/>
          <w:bCs/>
        </w:rPr>
        <w:t>6</w:t>
      </w:r>
    </w:p>
    <w:p w14:paraId="11F8A6ED" w14:textId="02DCBA85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B1803" w:rsidRPr="00FB1803">
        <w:rPr>
          <w:rFonts w:ascii="Arial" w:hAnsi="Arial" w:cs="Arial"/>
          <w:iCs/>
          <w:lang w:eastAsia="x-none"/>
        </w:rPr>
        <w:t>LTE_NR_DC_CA_enh-Core</w:t>
      </w:r>
    </w:p>
    <w:p w14:paraId="0B288281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2C234F61" w14:textId="55493E61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1EF904DD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5529A1E1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</w:r>
      <w:r w:rsidR="006942FA">
        <w:rPr>
          <w:rFonts w:cs="Arial"/>
          <w:b w:val="0"/>
          <w:bCs/>
          <w:lang w:val="en-US"/>
        </w:rPr>
        <w:t>Hong He</w:t>
      </w:r>
    </w:p>
    <w:p w14:paraId="1478CD9F" w14:textId="5D7F2AAB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942FA">
        <w:rPr>
          <w:rFonts w:cs="Arial"/>
          <w:b w:val="0"/>
          <w:bCs/>
          <w:lang w:val="fr-FR"/>
        </w:rPr>
        <w:t>hhe5@apple.com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3022C129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3670">
        <w:rPr>
          <w:rFonts w:ascii="Arial" w:hAnsi="Arial" w:cs="Arial"/>
          <w:bCs/>
        </w:rPr>
        <w:t>none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193C58" w14:textId="58F658EE" w:rsidR="00C209B5" w:rsidRDefault="00F47E5E" w:rsidP="00C209B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inform RAN2 the following working assumption made i</w:t>
      </w:r>
      <w:r w:rsidR="006942FA">
        <w:rPr>
          <w:rFonts w:ascii="Arial" w:hAnsi="Arial" w:cs="Arial"/>
          <w:lang w:val="en-US"/>
        </w:rPr>
        <w:t xml:space="preserve">n the RAN1 #100-e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42FA" w14:paraId="1D1158CE" w14:textId="77777777" w:rsidTr="006942FA">
        <w:tc>
          <w:tcPr>
            <w:tcW w:w="9855" w:type="dxa"/>
          </w:tcPr>
          <w:p w14:paraId="3BF9F379" w14:textId="3DC71C07" w:rsidR="00DF168E" w:rsidRDefault="00DF168E" w:rsidP="00DF168E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 the previous agreement as follows</w:t>
            </w:r>
            <w:r w:rsidR="00AE3C53">
              <w:rPr>
                <w:rFonts w:ascii="Arial" w:hAnsi="Arial" w:cs="Arial"/>
              </w:rPr>
              <w:t xml:space="preserve"> (</w:t>
            </w:r>
            <w:r w:rsidR="00AE3C53" w:rsidRPr="00C4583B">
              <w:rPr>
                <w:rFonts w:ascii="Arial" w:hAnsi="Arial" w:cs="Arial"/>
                <w:color w:val="FF0000"/>
              </w:rPr>
              <w:t>changes in red</w:t>
            </w:r>
            <w:r w:rsidR="00AE3C53">
              <w:rPr>
                <w:rFonts w:ascii="Arial" w:hAnsi="Arial" w:cs="Arial"/>
              </w:rPr>
              <w:t>):</w:t>
            </w:r>
          </w:p>
          <w:p w14:paraId="7EFE468A" w14:textId="77777777" w:rsidR="00DF168E" w:rsidRPr="00F47E5E" w:rsidRDefault="00DF168E" w:rsidP="00DF168E">
            <w:pPr>
              <w:spacing w:before="120"/>
              <w:jc w:val="both"/>
              <w:rPr>
                <w:rFonts w:ascii="Arial" w:hAnsi="Arial" w:cs="Arial"/>
              </w:rPr>
            </w:pPr>
          </w:p>
          <w:p w14:paraId="7BE51750" w14:textId="77777777" w:rsidR="00DF168E" w:rsidRPr="00F47E5E" w:rsidRDefault="00DF168E" w:rsidP="00DF168E">
            <w:pPr>
              <w:spacing w:after="120"/>
              <w:jc w:val="both"/>
              <w:rPr>
                <w:rFonts w:ascii="Arial" w:hAnsi="Arial" w:cs="Arial"/>
              </w:rPr>
            </w:pPr>
            <w:r w:rsidRPr="00F47E5E">
              <w:rPr>
                <w:rFonts w:ascii="Arial" w:hAnsi="Arial" w:cs="Arial"/>
                <w:shd w:val="clear" w:color="auto" w:fill="00FF00"/>
              </w:rPr>
              <w:t>Agreements</w:t>
            </w:r>
            <w:r w:rsidRPr="00F47E5E">
              <w:rPr>
                <w:rFonts w:ascii="Arial" w:hAnsi="Arial" w:cs="Arial"/>
              </w:rPr>
              <w:t>:</w:t>
            </w:r>
          </w:p>
          <w:p w14:paraId="1EBC4995" w14:textId="77777777" w:rsidR="00DF168E" w:rsidRPr="00F47E5E" w:rsidRDefault="00DF168E" w:rsidP="00DF168E">
            <w:pPr>
              <w:pStyle w:val="ListParagraph"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7E5E">
              <w:rPr>
                <w:rFonts w:ascii="Arial" w:hAnsi="Arial" w:cs="Arial"/>
                <w:color w:val="000000"/>
                <w:sz w:val="20"/>
                <w:szCs w:val="20"/>
              </w:rPr>
              <w:t>·        </w:t>
            </w:r>
            <w:r w:rsidRPr="00F47E5E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F47E5E">
              <w:rPr>
                <w:rFonts w:ascii="Arial" w:hAnsi="Arial" w:cs="Arial"/>
                <w:color w:val="000000"/>
                <w:sz w:val="20"/>
                <w:szCs w:val="20"/>
              </w:rPr>
              <w:t>For NR-DC dynamic power sharing, to compute the transmit power for SCG UL transmission starting at time T0,</w:t>
            </w:r>
          </w:p>
          <w:p w14:paraId="385F93CC" w14:textId="77777777" w:rsidR="00DF168E" w:rsidRPr="00C34C9F" w:rsidRDefault="00DF168E" w:rsidP="00DF168E">
            <w:pPr>
              <w:numPr>
                <w:ilvl w:val="0"/>
                <w:numId w:val="13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UE checks for PDCCH(s) received before time T0-T_offset that trigger an overlapping MCG UL transmission, and</w:t>
            </w:r>
          </w:p>
          <w:p w14:paraId="45B5DB91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If such PDCCH(s) are detected, UE sets it’s transmit power in SCG (pwr_SCG) such that pwr_SCG &lt;= min{P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SCG</w:t>
            </w:r>
            <w:r w:rsidRPr="00C34C9F">
              <w:rPr>
                <w:rFonts w:ascii="Arial" w:hAnsi="Arial" w:cs="Arial"/>
                <w:color w:val="000000"/>
              </w:rPr>
              <w:t>, 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total</w:t>
            </w:r>
            <w:r w:rsidRPr="00C34C9F">
              <w:rPr>
                <w:rFonts w:ascii="Arial" w:hAnsi="Arial" w:cs="Arial"/>
                <w:color w:val="000000"/>
              </w:rPr>
              <w:t> – MCG tx power} where ‘MCG tx power’ is the actual transmission power of MCG</w:t>
            </w:r>
          </w:p>
          <w:p w14:paraId="6CB51713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Otherwise, pwr_SCG &lt;= P</w:t>
            </w:r>
            <w:r w:rsidRPr="00C34C9F">
              <w:rPr>
                <w:rFonts w:ascii="Arial" w:hAnsi="Arial" w:cs="Arial"/>
                <w:color w:val="000000"/>
                <w:vertAlign w:val="subscript"/>
              </w:rPr>
              <w:t>total</w:t>
            </w:r>
            <w:r w:rsidRPr="00C34C9F">
              <w:rPr>
                <w:rFonts w:ascii="Arial" w:hAnsi="Arial" w:cs="Arial"/>
                <w:color w:val="000000"/>
              </w:rPr>
              <w:t>; </w:t>
            </w:r>
          </w:p>
          <w:p w14:paraId="7A432617" w14:textId="77777777" w:rsidR="00DF168E" w:rsidRPr="00C34C9F" w:rsidRDefault="00DF168E" w:rsidP="00DF168E">
            <w:pPr>
              <w:numPr>
                <w:ilvl w:val="0"/>
                <w:numId w:val="13"/>
              </w:numPr>
              <w:spacing w:after="12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UE does not expect to be scheduled by PDCCH(s) received on MCG after T0-[T_offset] that trigger(s) MCG UL transmission(s) that overlaps with the SCG transmission. </w:t>
            </w:r>
          </w:p>
          <w:p w14:paraId="7D1939A9" w14:textId="77777777" w:rsidR="00DF168E" w:rsidRPr="00C34C9F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000000"/>
              </w:rPr>
            </w:pPr>
            <w:r w:rsidRPr="00C34C9F">
              <w:rPr>
                <w:rFonts w:ascii="Arial" w:hAnsi="Arial" w:cs="Arial"/>
                <w:color w:val="000000"/>
              </w:rPr>
              <w:t>(</w:t>
            </w:r>
            <w:r w:rsidRPr="00C34C9F">
              <w:rPr>
                <w:rFonts w:ascii="Arial" w:hAnsi="Arial" w:cs="Arial"/>
                <w:color w:val="000000"/>
                <w:shd w:val="clear" w:color="auto" w:fill="808000"/>
              </w:rPr>
              <w:t>working assumption</w:t>
            </w:r>
            <w:r w:rsidRPr="00C34C9F">
              <w:rPr>
                <w:rFonts w:ascii="Arial" w:hAnsi="Arial" w:cs="Arial"/>
                <w:color w:val="000000"/>
              </w:rPr>
              <w:t>) No new RRC signaling is introduced for T_offset:</w:t>
            </w:r>
          </w:p>
          <w:p w14:paraId="4BC60B98" w14:textId="145096C8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Alt.1: T_offset</w:t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="002964DB">
              <w:rPr>
                <w:rStyle w:val="apple-converted-space"/>
                <w:rFonts w:ascii="Arial" w:hAnsi="Arial" w:cs="Arial"/>
                <w:color w:val="FF0000"/>
              </w:rPr>
              <w:t>=</w:t>
            </w:r>
            <w:r w:rsidRPr="00AE3C53">
              <w:rPr>
                <w:rFonts w:ascii="Arial" w:hAnsi="Arial" w:cs="Arial"/>
                <w:strike/>
                <w:color w:val="FF0000"/>
              </w:rPr>
              <w:t>&lt;= T_proc,2</w:t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r>
                <m:rPr>
                  <m:sty m:val="p"/>
                </m:rPr>
                <w:rPr>
                  <w:rStyle w:val="apple-converted-space"/>
                  <w:rFonts w:ascii="Cambria Math" w:hAnsi="Cambria Math" w:cs="Arial"/>
                  <w:color w:val="FF0000"/>
                </w:rPr>
                <m:t>max⁡</m:t>
              </m:r>
              <m:r>
                <w:rPr>
                  <w:rStyle w:val="apple-converted-space"/>
                  <w:rFonts w:ascii="Cambria Math" w:hAnsi="Cambria Math"/>
                  <w:color w:val="FF0000"/>
                </w:rPr>
                <m:t>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"cid:image001.png@01D5EE03.48F7F560"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Fonts w:ascii="Arial" w:hAnsi="Arial" w:cs="Arial"/>
                <w:b/>
                <w:bCs/>
                <w:color w:val="FF0000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where:</w:t>
            </w:r>
          </w:p>
          <w:p w14:paraId="07B7A229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"cid:image002.png@01D5EE03.48F7F560"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MCG.</w:t>
            </w:r>
          </w:p>
          <w:p w14:paraId="2AD4AD80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SCG.</w:t>
            </w:r>
          </w:p>
          <w:p w14:paraId="3C10E097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This is the “DPS without look-ahead”.</w:t>
            </w:r>
          </w:p>
          <w:p w14:paraId="6E84D991" w14:textId="72B5395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lastRenderedPageBreak/>
              <w:t>Alt.2: T_offset</w:t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="002964DB">
              <w:rPr>
                <w:rStyle w:val="apple-converted-space"/>
                <w:rFonts w:ascii="Arial" w:hAnsi="Arial" w:cs="Arial"/>
                <w:color w:val="FF0000"/>
              </w:rPr>
              <w:t>=</w:t>
            </w:r>
            <w:r w:rsidRPr="00AE3C53">
              <w:rPr>
                <w:rFonts w:ascii="Arial" w:hAnsi="Arial" w:cs="Arial"/>
                <w:strike/>
                <w:color w:val="FF0000"/>
              </w:rPr>
              <w:t>&lt;= 2*T_proc,2</w:t>
            </w:r>
            <m:oMath>
              <m:r>
                <m:rPr>
                  <m:sty m:val="p"/>
                </m:rPr>
                <w:rPr>
                  <w:rStyle w:val="apple-converted-space"/>
                  <w:rFonts w:ascii="Cambria Math" w:hAnsi="Cambria Math" w:cs="Arial"/>
                  <w:color w:val="FF0000"/>
                </w:rPr>
                <m:t>max⁡</m:t>
              </m:r>
              <m:r>
                <w:rPr>
                  <w:rStyle w:val="apple-converted-space"/>
                  <w:rFonts w:ascii="Cambria Math" w:hAnsi="Cambria Math"/>
                  <w:color w:val="FF0000"/>
                </w:rPr>
                <m:t>{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</m:t>
              </m:r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>,}</m:t>
              </m:r>
            </m:oMath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"cid:image001.png@01D5EE03.48F7F560"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Fonts w:ascii="Arial" w:hAnsi="Arial" w:cs="Arial"/>
                <w:b/>
                <w:bCs/>
                <w:color w:val="FF0000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where:</w:t>
            </w:r>
          </w:p>
          <w:p w14:paraId="799B9246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fldChar w:fldCharType="begin"/>
            </w:r>
            <w:r w:rsidRPr="00AE3C53">
              <w:rPr>
                <w:rFonts w:ascii="Arial" w:hAnsi="Arial" w:cs="Arial"/>
                <w:color w:val="FF0000"/>
              </w:rPr>
              <w:instrText xml:space="preserve"> INCLUDEPICTURE "cid:image002.png@01D5EE03.48F7F560" \* MERGEFORMATINET </w:instrText>
            </w:r>
            <w:r w:rsidRPr="00AE3C53">
              <w:rPr>
                <w:rFonts w:ascii="Arial" w:hAnsi="Arial" w:cs="Arial"/>
                <w:color w:val="FF0000"/>
              </w:rPr>
              <w:fldChar w:fldCharType="separate"/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proc,MCG</m:t>
                  </m:r>
                </m:sub>
                <m:sup>
                  <m:r>
                    <m:rPr>
                      <m:sty m:val="p"/>
                    </m:rP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</m:oMath>
            <w:r w:rsidRPr="00AE3C53">
              <w:rPr>
                <w:rFonts w:ascii="Arial" w:hAnsi="Arial" w:cs="Arial"/>
                <w:color w:val="FF0000"/>
              </w:rPr>
              <w:fldChar w:fldCharType="end"/>
            </w: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MCG.</w:t>
            </w:r>
          </w:p>
          <w:p w14:paraId="60477858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rPr>
                <w:rFonts w:ascii="Arial" w:hAnsi="Arial" w:cs="Arial"/>
                <w:color w:val="FF0000"/>
              </w:rPr>
            </w:pPr>
            <w:r w:rsidRPr="00AE3C53">
              <w:rPr>
                <w:rStyle w:val="apple-converted-space"/>
                <w:rFonts w:ascii="Arial" w:hAnsi="Arial" w:cs="Arial"/>
                <w:color w:val="FF0000"/>
              </w:rPr>
              <w:t> </w:t>
            </w:r>
            <m:oMath>
              <m:sSubSup>
                <m:sSubSupPr>
                  <m:ctrlPr>
                    <w:rPr>
                      <w:rStyle w:val="apple-converted-space"/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proc,SCG</m:t>
                  </m:r>
                </m:sub>
                <m:sup>
                  <m:r>
                    <w:rPr>
                      <w:rStyle w:val="apple-converted-space"/>
                      <w:rFonts w:ascii="Cambria Math" w:hAnsi="Cambria Math"/>
                      <w:color w:val="FF0000"/>
                    </w:rPr>
                    <m:t>max</m:t>
                  </m:r>
                </m:sup>
              </m:sSubSup>
              <m:r>
                <w:rPr>
                  <w:rStyle w:val="apple-converted-space"/>
                  <w:rFonts w:ascii="Cambria Math" w:hAnsi="Cambria Math"/>
                  <w:color w:val="FF0000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 xml:space="preserve">is the maximum UE processing time among any of the possible values from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proc,CSI</m:t>
                  </m:r>
                </m:sub>
              </m:sSub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proc,release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color w:val="FF0000"/>
                  <w:lang w:eastAsia="ja-JP"/>
                </w:rPr>
                <m:t xml:space="preserve"> </m:t>
              </m:r>
            </m:oMath>
            <w:r w:rsidRPr="00AE3C53">
              <w:rPr>
                <w:rFonts w:ascii="Arial" w:hAnsi="Arial" w:cs="Arial"/>
                <w:color w:val="FF0000"/>
              </w:rPr>
              <w:t>and/or</w:t>
            </w:r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/>
                      <w:bCs/>
                      <w:color w:val="FF0000"/>
                      <w:lang w:eastAsia="ja-JP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proc,2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color w:val="FF0000"/>
                      <w:lang w:eastAsia="ja-JP"/>
                    </w:rPr>
                    <m:t>mux</m:t>
                  </m:r>
                </m:sup>
              </m:sSubSup>
            </m:oMath>
            <w:r w:rsidRPr="00AE3C53">
              <w:rPr>
                <w:rFonts w:eastAsia="MS Mincho"/>
                <w:b/>
                <w:bCs/>
                <w:color w:val="FF0000"/>
                <w:lang w:eastAsia="ja-JP"/>
              </w:rPr>
              <w:t xml:space="preserve">, </w:t>
            </w:r>
            <w:r w:rsidRPr="00AE3C53">
              <w:rPr>
                <w:rFonts w:ascii="Arial" w:hAnsi="Arial" w:cs="Arial"/>
                <w:color w:val="FF0000"/>
              </w:rPr>
              <w:t>as specified in TS38.213 and TS38.214 based on the configurations for the SCG.</w:t>
            </w:r>
          </w:p>
          <w:p w14:paraId="30E0BDFB" w14:textId="77777777" w:rsidR="00DF168E" w:rsidRPr="00AE3C53" w:rsidRDefault="00DF168E" w:rsidP="00DF168E">
            <w:pPr>
              <w:numPr>
                <w:ilvl w:val="3"/>
                <w:numId w:val="13"/>
              </w:numPr>
              <w:spacing w:after="120"/>
              <w:ind w:left="396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This is the “DPS with look-ahead”.</w:t>
            </w:r>
          </w:p>
          <w:p w14:paraId="38E5233F" w14:textId="7777777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strike/>
                <w:color w:val="FF0000"/>
              </w:rPr>
              <w:t>Alt.3: T_offset reasonbly larger than Alt 1. &amp; Alt 2 but &lt;=4ms</w:t>
            </w:r>
          </w:p>
          <w:p w14:paraId="4985F24A" w14:textId="77777777" w:rsidR="00DF168E" w:rsidRPr="00AE3C53" w:rsidRDefault="00DF168E" w:rsidP="00DF168E">
            <w:pPr>
              <w:numPr>
                <w:ilvl w:val="2"/>
                <w:numId w:val="13"/>
              </w:numPr>
              <w:spacing w:after="120"/>
              <w:ind w:left="288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strike/>
                <w:color w:val="FF0000"/>
              </w:rPr>
              <w:t>To be addressed in the CR stage</w:t>
            </w:r>
          </w:p>
          <w:p w14:paraId="32ACE8E2" w14:textId="77777777" w:rsidR="00DF168E" w:rsidRPr="00AE3C53" w:rsidRDefault="00DF168E" w:rsidP="00DF168E">
            <w:pPr>
              <w:numPr>
                <w:ilvl w:val="1"/>
                <w:numId w:val="13"/>
              </w:numPr>
              <w:spacing w:after="120"/>
              <w:ind w:left="1800"/>
              <w:jc w:val="both"/>
              <w:rPr>
                <w:rFonts w:ascii="Arial" w:hAnsi="Arial" w:cs="Arial"/>
                <w:color w:val="FF0000"/>
              </w:rPr>
            </w:pPr>
            <w:r w:rsidRPr="00AE3C53">
              <w:rPr>
                <w:rFonts w:ascii="Arial" w:hAnsi="Arial" w:cs="Arial"/>
                <w:color w:val="FF0000"/>
              </w:rPr>
              <w:t>A UE reports the UE capability of Alt.1 and/or Alt.2.</w:t>
            </w:r>
          </w:p>
          <w:p w14:paraId="020F392E" w14:textId="2E6F0470" w:rsidR="006942FA" w:rsidRPr="00FB1803" w:rsidRDefault="00DF168E" w:rsidP="00FB1803">
            <w:pPr>
              <w:pStyle w:val="ListParagraph"/>
              <w:numPr>
                <w:ilvl w:val="2"/>
                <w:numId w:val="13"/>
              </w:numPr>
              <w:spacing w:after="120"/>
              <w:rPr>
                <w:rFonts w:ascii="Arial" w:hAnsi="Arial" w:cs="Arial"/>
                <w:b/>
              </w:rPr>
            </w:pPr>
            <w:r w:rsidRPr="00AE3C53">
              <w:rPr>
                <w:rFonts w:ascii="Arial" w:hAnsi="Arial" w:cs="Arial"/>
                <w:color w:val="FF0000"/>
              </w:rPr>
              <w:t>Details up to UE feature list discussion</w:t>
            </w:r>
          </w:p>
        </w:tc>
      </w:tr>
    </w:tbl>
    <w:p w14:paraId="61F1B992" w14:textId="7DBE8F2E" w:rsidR="006942FA" w:rsidRDefault="006942FA" w:rsidP="00C209B5">
      <w:pPr>
        <w:spacing w:after="120"/>
        <w:rPr>
          <w:rFonts w:ascii="Arial" w:hAnsi="Arial" w:cs="Arial"/>
          <w:b/>
        </w:rPr>
      </w:pPr>
    </w:p>
    <w:p w14:paraId="2E67D329" w14:textId="62932069" w:rsidR="00AE3C53" w:rsidRDefault="00AE3C53" w:rsidP="00C209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above agreement, it is RAN1 understanding that </w:t>
      </w:r>
      <w:r w:rsidRPr="00AE3C53">
        <w:rPr>
          <w:rFonts w:ascii="Arial" w:hAnsi="Arial" w:cs="Arial"/>
        </w:rPr>
        <w:t xml:space="preserve">MN is required to </w:t>
      </w:r>
      <w:r>
        <w:rPr>
          <w:rFonts w:ascii="Arial" w:hAnsi="Arial" w:cs="Arial"/>
        </w:rPr>
        <w:t>process the</w:t>
      </w:r>
      <w:r w:rsidRPr="00AE3C53">
        <w:rPr>
          <w:rFonts w:ascii="Arial" w:hAnsi="Arial" w:cs="Arial"/>
        </w:rPr>
        <w:t xml:space="preserve"> SCG configuration</w:t>
      </w:r>
      <w:r>
        <w:rPr>
          <w:rFonts w:ascii="Arial" w:hAnsi="Arial" w:cs="Arial"/>
        </w:rPr>
        <w:t xml:space="preserve"> (i.e., RRC parameters </w:t>
      </w:r>
      <w:r w:rsidRPr="007B1EE1">
        <w:rPr>
          <w:rFonts w:ascii="Arial" w:hAnsi="Arial" w:cs="Arial"/>
        </w:rPr>
        <w:t xml:space="preserve">impacting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, </w:t>
      </w:r>
      <w:r w:rsidRPr="007B1EE1">
        <w:rPr>
          <w:rFonts w:ascii="Arial" w:hAnsi="Arial" w:cs="Arial"/>
        </w:rPr>
        <w:t>and/or</w:t>
      </w:r>
      <w:r w:rsidRPr="007B1EE1">
        <w:rPr>
          <w:rFonts w:eastAsia="MS Mincho"/>
          <w:b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7B1EE1">
        <w:rPr>
          <w:rFonts w:eastAsia="MS Mincho"/>
          <w:b/>
          <w:bCs/>
          <w:lang w:eastAsia="ja-JP"/>
        </w:rPr>
        <w:t xml:space="preserve"> </w:t>
      </w:r>
      <w:r w:rsidRPr="007B1EE1">
        <w:rPr>
          <w:rFonts w:ascii="Arial" w:hAnsi="Arial" w:cs="Arial"/>
        </w:rPr>
        <w:t xml:space="preserve">as specified in TS38.213 and TS38.214) </w:t>
      </w:r>
      <w:r w:rsidRPr="00AE3C53">
        <w:rPr>
          <w:rFonts w:ascii="Arial" w:hAnsi="Arial" w:cs="Arial"/>
        </w:rPr>
        <w:t>to identify the T</w:t>
      </w:r>
      <w:r w:rsidR="001063B1">
        <w:rPr>
          <w:rFonts w:ascii="Arial" w:hAnsi="Arial" w:cs="Arial"/>
        </w:rPr>
        <w:t>_</w:t>
      </w:r>
      <w:r w:rsidRPr="00AE3C53">
        <w:rPr>
          <w:rFonts w:ascii="Arial" w:hAnsi="Arial" w:cs="Arial"/>
        </w:rPr>
        <w:t>offset used by the UE</w:t>
      </w:r>
      <w:r>
        <w:rPr>
          <w:rFonts w:ascii="Arial" w:hAnsi="Arial" w:cs="Arial"/>
        </w:rPr>
        <w:t xml:space="preserve">. </w:t>
      </w:r>
      <w:r w:rsidR="00822A70" w:rsidRPr="002277D1">
        <w:rPr>
          <w:rFonts w:ascii="Arial" w:hAnsi="Arial" w:cs="Arial"/>
        </w:rPr>
        <w:t>Otherwise the MN needs to assume the possible largest value of T_offset.</w:t>
      </w:r>
      <w:r w:rsidR="00822A70">
        <w:rPr>
          <w:rFonts w:ascii="Arial" w:hAnsi="Arial" w:cs="Arial"/>
        </w:rPr>
        <w:t xml:space="preserve"> </w:t>
      </w:r>
    </w:p>
    <w:p w14:paraId="2F32B34A" w14:textId="77777777" w:rsidR="00AE3C53" w:rsidRDefault="00AE3C53" w:rsidP="00AE3C53">
      <w:pPr>
        <w:rPr>
          <w:rFonts w:ascii="Arial" w:hAnsi="Arial" w:cs="Arial"/>
        </w:rPr>
      </w:pPr>
    </w:p>
    <w:p w14:paraId="64F15A1A" w14:textId="429D7F8A" w:rsidR="00AE3C53" w:rsidRPr="007B1EE1" w:rsidRDefault="00AE3C53" w:rsidP="007B1EE1">
      <w:pPr>
        <w:rPr>
          <w:rFonts w:ascii="Arial" w:hAnsi="Arial" w:cs="Arial"/>
        </w:rPr>
      </w:pPr>
      <w:r w:rsidRPr="007B1EE1">
        <w:rPr>
          <w:rFonts w:ascii="Arial" w:hAnsi="Arial" w:cs="Arial"/>
        </w:rPr>
        <w:t>RAN1 understands that in some cases the MN does not know exact RRC configurations of SCG. However, RAN1 has no consensus on whether the working assumption is still feasible.</w:t>
      </w:r>
    </w:p>
    <w:p w14:paraId="5EFA8F9D" w14:textId="77777777" w:rsidR="00AE3C53" w:rsidRDefault="00AE3C53" w:rsidP="00C209B5">
      <w:pPr>
        <w:spacing w:after="120"/>
        <w:rPr>
          <w:rFonts w:ascii="Arial" w:hAnsi="Arial" w:cs="Arial"/>
        </w:rPr>
      </w:pPr>
    </w:p>
    <w:p w14:paraId="02B630D1" w14:textId="66593C0B" w:rsidR="00AE3C53" w:rsidRPr="00061158" w:rsidRDefault="00061158" w:rsidP="00C209B5">
      <w:pPr>
        <w:spacing w:after="120"/>
        <w:rPr>
          <w:rFonts w:ascii="Arial" w:hAnsi="Arial" w:cs="Arial"/>
        </w:rPr>
      </w:pPr>
      <w:r w:rsidRPr="00061158">
        <w:rPr>
          <w:rFonts w:ascii="Arial" w:hAnsi="Arial" w:cs="Arial"/>
        </w:rPr>
        <w:t xml:space="preserve">Furthermore, it was agreed that </w:t>
      </w:r>
      <w:r w:rsidR="00D47BDB">
        <w:rPr>
          <w:rFonts w:ascii="Arial" w:hAnsi="Arial" w:cs="Arial"/>
        </w:rPr>
        <w:t xml:space="preserve">RAN1 has no intention to ask RAN2 to work on inter-gNBs signalling in Rel-16 MR-DC work item for this working assumption. </w:t>
      </w: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08E00E3B" w:rsidR="00C209B5" w:rsidRPr="00DF168E" w:rsidRDefault="00C209B5" w:rsidP="00C209B5">
      <w:pPr>
        <w:spacing w:after="120"/>
        <w:ind w:left="993" w:hanging="993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</w:t>
      </w:r>
      <w:r w:rsidR="00061158">
        <w:rPr>
          <w:rFonts w:ascii="Arial" w:hAnsi="Arial" w:cs="Arial"/>
        </w:rPr>
        <w:t xml:space="preserve">respectfully asks RAN2 to </w:t>
      </w:r>
      <w:r w:rsidR="00D47BDB">
        <w:rPr>
          <w:rFonts w:ascii="Arial" w:hAnsi="Arial" w:cs="Arial"/>
        </w:rPr>
        <w:t>review</w:t>
      </w:r>
      <w:r w:rsidR="00061158">
        <w:rPr>
          <w:rFonts w:ascii="Arial" w:hAnsi="Arial" w:cs="Arial"/>
        </w:rPr>
        <w:t xml:space="preserve"> </w:t>
      </w:r>
      <w:r w:rsidR="00D47BDB">
        <w:rPr>
          <w:rFonts w:ascii="Arial" w:hAnsi="Arial" w:cs="Arial"/>
        </w:rPr>
        <w:t xml:space="preserve">this </w:t>
      </w:r>
      <w:r w:rsidR="00061158">
        <w:rPr>
          <w:rFonts w:ascii="Arial" w:hAnsi="Arial" w:cs="Arial"/>
        </w:rPr>
        <w:t xml:space="preserve">working assumption. </w:t>
      </w:r>
      <w:r w:rsidR="007B1EE1" w:rsidRPr="000E04B4">
        <w:rPr>
          <w:rFonts w:ascii="Arial" w:hAnsi="Arial" w:cs="Arial"/>
          <w:bCs/>
        </w:rPr>
        <w:t xml:space="preserve">In particular, RAN1 would like to know whether the working assumption </w:t>
      </w:r>
      <w:r w:rsidR="007B1EE1" w:rsidRPr="00AB376F">
        <w:rPr>
          <w:rFonts w:ascii="Arial" w:hAnsi="Arial" w:cs="Arial"/>
          <w:bCs/>
        </w:rPr>
        <w:t xml:space="preserve">has </w:t>
      </w:r>
      <w:r w:rsidR="007B1EE1" w:rsidRPr="002277D1">
        <w:rPr>
          <w:rFonts w:ascii="Arial" w:hAnsi="Arial" w:cs="Arial"/>
          <w:bCs/>
        </w:rPr>
        <w:t>any negative impacts</w:t>
      </w:r>
      <w:r w:rsidR="007B1EE1" w:rsidRPr="000E04B4">
        <w:rPr>
          <w:rFonts w:ascii="Arial" w:hAnsi="Arial" w:cs="Arial"/>
          <w:bCs/>
        </w:rPr>
        <w:t xml:space="preserve"> for NR-DC operation from RAN2’s point of view, and if yes, the reason(s) and the actual impact(s)</w:t>
      </w:r>
      <w:r w:rsidR="00061158">
        <w:rPr>
          <w:rFonts w:ascii="Arial" w:hAnsi="Arial" w:cs="Arial"/>
        </w:rPr>
        <w:t xml:space="preserve">. 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162AF405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 w:rsidR="004610BA">
        <w:rPr>
          <w:rFonts w:ascii="Arial" w:hAnsi="Arial" w:cs="Arial"/>
          <w:bCs/>
        </w:rPr>
        <w:t>-e-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610BA">
        <w:rPr>
          <w:rFonts w:ascii="Arial" w:hAnsi="Arial" w:cs="Arial"/>
          <w:bCs/>
        </w:rPr>
        <w:t>e-Meeting</w:t>
      </w:r>
    </w:p>
    <w:p w14:paraId="1EBB9015" w14:textId="37EFE295" w:rsidR="009E0233" w:rsidRDefault="006F50F8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85186A6" w14:textId="77777777" w:rsidR="002277D1" w:rsidRDefault="002277D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27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84B9" w14:textId="77777777" w:rsidR="00FC1D52" w:rsidRDefault="00FC1D52">
      <w:r>
        <w:separator/>
      </w:r>
    </w:p>
  </w:endnote>
  <w:endnote w:type="continuationSeparator" w:id="0">
    <w:p w14:paraId="147784B6" w14:textId="77777777" w:rsidR="00FC1D52" w:rsidRDefault="00FC1D52">
      <w:r>
        <w:continuationSeparator/>
      </w:r>
    </w:p>
  </w:endnote>
  <w:endnote w:type="continuationNotice" w:id="1">
    <w:p w14:paraId="31C73372" w14:textId="77777777" w:rsidR="00FC1D52" w:rsidRDefault="00FC1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84EF" w14:textId="77777777" w:rsidR="00FC1D52" w:rsidRDefault="00FC1D52">
      <w:r>
        <w:separator/>
      </w:r>
    </w:p>
  </w:footnote>
  <w:footnote w:type="continuationSeparator" w:id="0">
    <w:p w14:paraId="40BE8D0D" w14:textId="77777777" w:rsidR="00FC1D52" w:rsidRDefault="00FC1D52">
      <w:r>
        <w:continuationSeparator/>
      </w:r>
    </w:p>
  </w:footnote>
  <w:footnote w:type="continuationNotice" w:id="1">
    <w:p w14:paraId="55B19751" w14:textId="77777777" w:rsidR="00FC1D52" w:rsidRDefault="00FC1D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D76776"/>
    <w:multiLevelType w:val="hybridMultilevel"/>
    <w:tmpl w:val="2376A9E6"/>
    <w:lvl w:ilvl="0" w:tplc="50928B14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10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61158"/>
    <w:rsid w:val="000825C9"/>
    <w:rsid w:val="00086D22"/>
    <w:rsid w:val="000D113A"/>
    <w:rsid w:val="000D32EC"/>
    <w:rsid w:val="000F12FD"/>
    <w:rsid w:val="001063B1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77D1"/>
    <w:rsid w:val="0024067D"/>
    <w:rsid w:val="00254238"/>
    <w:rsid w:val="002551FB"/>
    <w:rsid w:val="00261C7D"/>
    <w:rsid w:val="002633C1"/>
    <w:rsid w:val="00270DF0"/>
    <w:rsid w:val="0027716B"/>
    <w:rsid w:val="00282DA9"/>
    <w:rsid w:val="00283A52"/>
    <w:rsid w:val="002946E5"/>
    <w:rsid w:val="002964DB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1315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40554"/>
    <w:rsid w:val="00452B0D"/>
    <w:rsid w:val="004610BA"/>
    <w:rsid w:val="00463675"/>
    <w:rsid w:val="00491109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3174"/>
    <w:rsid w:val="00594DA5"/>
    <w:rsid w:val="005C373E"/>
    <w:rsid w:val="005C7689"/>
    <w:rsid w:val="005D1733"/>
    <w:rsid w:val="005D485C"/>
    <w:rsid w:val="005D558D"/>
    <w:rsid w:val="005D5906"/>
    <w:rsid w:val="005E5DB4"/>
    <w:rsid w:val="005F7506"/>
    <w:rsid w:val="005F7637"/>
    <w:rsid w:val="00613670"/>
    <w:rsid w:val="006249D2"/>
    <w:rsid w:val="00633743"/>
    <w:rsid w:val="00642CAC"/>
    <w:rsid w:val="006431E6"/>
    <w:rsid w:val="00667F66"/>
    <w:rsid w:val="0067303B"/>
    <w:rsid w:val="006775AB"/>
    <w:rsid w:val="006942FA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B1EE1"/>
    <w:rsid w:val="007D0D8D"/>
    <w:rsid w:val="007E523D"/>
    <w:rsid w:val="00806E3A"/>
    <w:rsid w:val="00822A7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33C10"/>
    <w:rsid w:val="00941A45"/>
    <w:rsid w:val="00950DE4"/>
    <w:rsid w:val="00952417"/>
    <w:rsid w:val="00955602"/>
    <w:rsid w:val="0096221E"/>
    <w:rsid w:val="009778A3"/>
    <w:rsid w:val="00983675"/>
    <w:rsid w:val="00984727"/>
    <w:rsid w:val="0099117D"/>
    <w:rsid w:val="009960F3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BD2"/>
    <w:rsid w:val="00A56D45"/>
    <w:rsid w:val="00A6412A"/>
    <w:rsid w:val="00A64F79"/>
    <w:rsid w:val="00A8524C"/>
    <w:rsid w:val="00A87B43"/>
    <w:rsid w:val="00AA637B"/>
    <w:rsid w:val="00AB376F"/>
    <w:rsid w:val="00AD35B0"/>
    <w:rsid w:val="00AE3C53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4583B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47BDB"/>
    <w:rsid w:val="00D65530"/>
    <w:rsid w:val="00D74A1C"/>
    <w:rsid w:val="00D75660"/>
    <w:rsid w:val="00D876BF"/>
    <w:rsid w:val="00DA2920"/>
    <w:rsid w:val="00DC6C67"/>
    <w:rsid w:val="00DD3E0B"/>
    <w:rsid w:val="00DF168E"/>
    <w:rsid w:val="00DF7DB5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47E5E"/>
    <w:rsid w:val="00F54C66"/>
    <w:rsid w:val="00F639C0"/>
    <w:rsid w:val="00F84AF9"/>
    <w:rsid w:val="00FB1803"/>
    <w:rsid w:val="00FC1D5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694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168E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F168E"/>
    <w:rPr>
      <w:rFonts w:ascii="Calibri" w:eastAsia="Calibri" w:hAnsi="Calibri"/>
      <w:sz w:val="22"/>
      <w:szCs w:val="22"/>
      <w:lang w:val="x-none"/>
    </w:rPr>
  </w:style>
  <w:style w:type="character" w:customStyle="1" w:styleId="apple-converted-space">
    <w:name w:val="apple-converted-space"/>
    <w:basedOn w:val="DefaultParagraphFont"/>
    <w:rsid w:val="00DF16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EE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E1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DD3E0B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sid w:val="00DD3E0B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3809</Characters>
  <Application>Microsoft Office Word</Application>
  <DocSecurity>0</DocSecurity>
  <Lines>108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2</cp:lastModifiedBy>
  <cp:revision>2</cp:revision>
  <cp:lastPrinted>2002-04-23T00:10:00Z</cp:lastPrinted>
  <dcterms:created xsi:type="dcterms:W3CDTF">2020-04-09T09:55:00Z</dcterms:created>
  <dcterms:modified xsi:type="dcterms:W3CDTF">2020-04-09T09:55:00Z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