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BFACA" w14:textId="50243B76" w:rsidR="00075876" w:rsidRPr="00B62621" w:rsidRDefault="00075876" w:rsidP="0007587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</w:p>
    <w:p w14:paraId="3E30CA7C" w14:textId="77777777" w:rsidR="00075876" w:rsidRPr="00B62621" w:rsidRDefault="00075876" w:rsidP="00075876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14:paraId="70D4CC3D" w14:textId="77777777" w:rsidR="00075876" w:rsidRPr="00B62621" w:rsidRDefault="00075876" w:rsidP="00075876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EAC2E28" w14:textId="77777777" w:rsidR="00075876" w:rsidRPr="00B574B0" w:rsidRDefault="00075876" w:rsidP="00075876">
      <w:pPr>
        <w:tabs>
          <w:tab w:val="left" w:pos="1985"/>
          <w:tab w:val="right" w:pos="9612"/>
          <w:tab w:val="right" w:pos="9639"/>
        </w:tabs>
        <w:rPr>
          <w:rFonts w:ascii="Arial" w:hAnsi="Arial" w:cs="Arial"/>
          <w:bCs/>
        </w:rPr>
      </w:pPr>
    </w:p>
    <w:p w14:paraId="17405177" w14:textId="1F12DEBC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B43F5" w:rsidRPr="00CB43F5">
        <w:rPr>
          <w:rFonts w:ascii="Arial" w:hAnsi="Arial" w:cs="Arial"/>
          <w:b/>
          <w:bCs/>
          <w:sz w:val="22"/>
        </w:rPr>
        <w:t>R1-19014</w:t>
      </w:r>
      <w:r w:rsidR="0039449A">
        <w:rPr>
          <w:rFonts w:ascii="Arial" w:hAnsi="Arial" w:cs="Arial"/>
          <w:b/>
          <w:bCs/>
          <w:sz w:val="22"/>
        </w:rPr>
        <w:t>70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7A9D74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2FC206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>
        <w:rPr>
          <w:rFonts w:ascii="Arial" w:hAnsi="Arial" w:cs="Arial"/>
          <w:bCs/>
        </w:rPr>
        <w:t>RAN1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300313D5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21D73769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>.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ms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391CD2FE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>assumed UL/DL configuration.</w:t>
      </w:r>
    </w:p>
    <w:p w14:paraId="00553C9C" w14:textId="6D643A4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60kHz (and higher) SCS, the 0.5ms one-way latency target can be achieved with the respectively assumed UL/DL configuration for both DL and UL with Rel-15 NR for single-shot transmission.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483BF4BC" w14:textId="4374A82A" w:rsidR="00A41E33" w:rsidRDefault="00506B93" w:rsidP="003E0AEE">
      <w:pPr>
        <w:pStyle w:val="Header"/>
        <w:spacing w:after="120"/>
        <w:rPr>
          <w:rFonts w:ascii="Arial" w:hAnsi="Arial" w:cs="Arial"/>
        </w:rPr>
      </w:pPr>
      <w:bookmarkStart w:id="1" w:name="_Hlk536158423"/>
      <w:r>
        <w:rPr>
          <w:rFonts w:ascii="Arial" w:hAnsi="Arial" w:cs="Arial"/>
        </w:rPr>
        <w:t xml:space="preserve">On </w:t>
      </w:r>
      <w:r w:rsidR="00A41E33">
        <w:rPr>
          <w:rFonts w:ascii="Arial" w:hAnsi="Arial" w:cs="Arial"/>
        </w:rPr>
        <w:t xml:space="preserve">reliability analysis </w:t>
      </w:r>
      <w:r>
        <w:rPr>
          <w:rFonts w:ascii="Arial" w:hAnsi="Arial" w:cs="Arial"/>
        </w:rPr>
        <w:t xml:space="preserve">using single UE </w:t>
      </w:r>
      <w:r w:rsidR="00A41E33">
        <w:rPr>
          <w:rFonts w:ascii="Arial" w:hAnsi="Arial" w:cs="Arial"/>
        </w:rPr>
        <w:t>link level evaluations</w:t>
      </w:r>
      <w:r>
        <w:rPr>
          <w:rFonts w:ascii="Arial" w:hAnsi="Arial" w:cs="Arial"/>
        </w:rPr>
        <w:t xml:space="preserve">, RAN1 makes the following </w:t>
      </w:r>
      <w:r w:rsidR="00A41E33">
        <w:rPr>
          <w:rFonts w:ascii="Arial" w:hAnsi="Arial" w:cs="Arial"/>
        </w:rPr>
        <w:t>conclusions:</w:t>
      </w:r>
    </w:p>
    <w:p w14:paraId="1C3019A2" w14:textId="7664AF7C" w:rsidR="003E0AEE" w:rsidRDefault="004B476E" w:rsidP="005B0F90">
      <w:pPr>
        <w:pStyle w:val="Header"/>
        <w:numPr>
          <w:ilvl w:val="0"/>
          <w:numId w:val="17"/>
        </w:numPr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>For the cases where the one-way latency target 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</w:t>
      </w:r>
      <w:r w:rsidR="00506B93">
        <w:rPr>
          <w:rFonts w:ascii="Arial" w:hAnsi="Arial" w:cs="Arial"/>
        </w:rPr>
        <w:t>the 5%</w:t>
      </w:r>
      <w:r w:rsidR="005B0F90">
        <w:rPr>
          <w:rFonts w:ascii="Arial" w:hAnsi="Arial" w:cs="Arial"/>
        </w:rPr>
        <w:t>-</w:t>
      </w:r>
      <w:r w:rsidR="00506B93">
        <w:rPr>
          <w:rFonts w:ascii="Arial" w:hAnsi="Arial" w:cs="Arial"/>
        </w:rPr>
        <w:t xml:space="preserve">ile </w:t>
      </w:r>
      <w:r w:rsidR="005B0F90">
        <w:rPr>
          <w:rFonts w:ascii="Arial" w:hAnsi="Arial" w:cs="Arial"/>
        </w:rPr>
        <w:t xml:space="preserve">SINR </w:t>
      </w:r>
      <w:r w:rsidR="00506B93">
        <w:rPr>
          <w:rFonts w:ascii="Arial" w:hAnsi="Arial" w:cs="Arial"/>
        </w:rPr>
        <w:t xml:space="preserve">geometry </w:t>
      </w:r>
      <w:r w:rsidR="005B0F90">
        <w:rPr>
          <w:rFonts w:ascii="Arial" w:hAnsi="Arial" w:cs="Arial"/>
        </w:rPr>
        <w:t xml:space="preserve">(e.g. cell-edge UE) </w:t>
      </w:r>
      <w:r w:rsidR="00506B93">
        <w:rPr>
          <w:rFonts w:ascii="Arial" w:hAnsi="Arial" w:cs="Arial"/>
        </w:rPr>
        <w:t xml:space="preserve">in </w:t>
      </w:r>
      <w:r w:rsidR="003E0AEE" w:rsidRPr="00CB43F5">
        <w:rPr>
          <w:rFonts w:ascii="Arial" w:hAnsi="Arial" w:cs="Arial"/>
        </w:rPr>
        <w:t xml:space="preserve">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bookmarkEnd w:id="1"/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Uu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gNB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</w:t>
      </w:r>
      <w:r w:rsidR="00245244" w:rsidRPr="00727EEA">
        <w:rPr>
          <w:rFonts w:ascii="Arial" w:hAnsi="Arial" w:cs="Arial"/>
        </w:rPr>
        <w:lastRenderedPageBreak/>
        <w:t xml:space="preserve">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 xml:space="preserve">required. The propagation delay compensation needs to be applied by the TSN UEs for larger service areas with more sparse cell deployments (e.g. for inter-site distances &gt;200m the </w:t>
      </w:r>
      <w:r w:rsidR="005910B7" w:rsidRPr="00727EEA">
        <w:rPr>
          <w:rFonts w:ascii="Arial" w:hAnsi="Arial" w:cs="Arial"/>
        </w:rPr>
        <w:t xml:space="preserve">gNB-to-UE timing </w:t>
      </w:r>
      <w:r w:rsidR="00245244" w:rsidRPr="00727EEA">
        <w:rPr>
          <w:rFonts w:ascii="Arial" w:hAnsi="Arial" w:cs="Arial"/>
        </w:rPr>
        <w:t xml:space="preserve">synchronization accuracy 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>be worse than 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2" w:name="_Hlk536097374"/>
    </w:p>
    <w:bookmarkEnd w:id="2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3E1105DA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="00D0607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2E1A567C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>China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866B4" w14:textId="77777777" w:rsidR="00950382" w:rsidRDefault="00950382">
      <w:r>
        <w:separator/>
      </w:r>
    </w:p>
  </w:endnote>
  <w:endnote w:type="continuationSeparator" w:id="0">
    <w:p w14:paraId="739C6511" w14:textId="77777777" w:rsidR="00950382" w:rsidRDefault="00950382">
      <w:r>
        <w:continuationSeparator/>
      </w:r>
    </w:p>
  </w:endnote>
  <w:endnote w:type="continuationNotice" w:id="1">
    <w:p w14:paraId="56A33B73" w14:textId="77777777" w:rsidR="00950382" w:rsidRDefault="00950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2E68F" w14:textId="77777777" w:rsidR="00950382" w:rsidRDefault="00950382">
      <w:r>
        <w:separator/>
      </w:r>
    </w:p>
  </w:footnote>
  <w:footnote w:type="continuationSeparator" w:id="0">
    <w:p w14:paraId="7BD057EC" w14:textId="77777777" w:rsidR="00950382" w:rsidRDefault="00950382">
      <w:r>
        <w:continuationSeparator/>
      </w:r>
    </w:p>
  </w:footnote>
  <w:footnote w:type="continuationNotice" w:id="1">
    <w:p w14:paraId="18B088E7" w14:textId="77777777" w:rsidR="00950382" w:rsidRDefault="009503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6"/>
  </w:num>
  <w:num w:numId="16">
    <w:abstractNumId w:val="13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75876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382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06071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  <w:style w:type="paragraph" w:customStyle="1" w:styleId="CRCoverPage">
    <w:name w:val="CR Cover Page"/>
    <w:link w:val="CRCoverPageZchn"/>
    <w:rsid w:val="00075876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07587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Draft version 2</cp:lastModifiedBy>
  <cp:revision>3</cp:revision>
  <cp:lastPrinted>2002-04-23T00:10:00Z</cp:lastPrinted>
  <dcterms:created xsi:type="dcterms:W3CDTF">2019-02-08T00:03:00Z</dcterms:created>
  <dcterms:modified xsi:type="dcterms:W3CDTF">2019-02-08T00:06:00Z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