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2134A937" w:rsidR="00895250" w:rsidRPr="00B83A3D"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83A3D">
        <w:rPr>
          <w:rFonts w:ascii="Arial" w:eastAsia="MS Mincho" w:hAnsi="Arial"/>
          <w:b/>
          <w:sz w:val="24"/>
          <w:szCs w:val="24"/>
          <w:lang w:val="en-GB" w:eastAsia="x-none"/>
        </w:rPr>
        <w:t>3GPP TSG</w:t>
      </w:r>
      <w:r w:rsidR="00505F8C">
        <w:rPr>
          <w:rFonts w:ascii="Arial" w:eastAsia="MS Mincho" w:hAnsi="Arial"/>
          <w:b/>
          <w:sz w:val="24"/>
          <w:szCs w:val="24"/>
          <w:lang w:val="en-GB" w:eastAsia="x-none"/>
        </w:rPr>
        <w:t>-RAN WG2 Meeting #105</w:t>
      </w:r>
      <w:r w:rsidR="00505F8C">
        <w:rPr>
          <w:rFonts w:ascii="Arial" w:eastAsia="MS Mincho" w:hAnsi="Arial"/>
          <w:b/>
          <w:sz w:val="24"/>
          <w:szCs w:val="24"/>
          <w:lang w:val="en-GB" w:eastAsia="x-none"/>
        </w:rPr>
        <w:tab/>
        <w:t>R2-1900819</w:t>
      </w:r>
    </w:p>
    <w:p w14:paraId="6877EE3A" w14:textId="1DB25173" w:rsidR="00895250" w:rsidRPr="00B83A3D" w:rsidRDefault="0071759F"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Athens, Greece</w:t>
      </w:r>
      <w:r w:rsidR="00895250" w:rsidRPr="00B83A3D">
        <w:rPr>
          <w:rFonts w:ascii="Arial" w:eastAsia="MS Mincho" w:hAnsi="Arial"/>
          <w:b/>
          <w:sz w:val="24"/>
          <w:szCs w:val="24"/>
          <w:lang w:val="en-GB" w:eastAsia="x-none"/>
        </w:rPr>
        <w:t xml:space="preserve">, </w:t>
      </w:r>
      <w:r>
        <w:rPr>
          <w:rFonts w:ascii="Arial" w:eastAsia="MS Mincho" w:hAnsi="Arial"/>
          <w:b/>
          <w:sz w:val="24"/>
          <w:szCs w:val="24"/>
          <w:lang w:val="en-GB" w:eastAsia="x-none"/>
        </w:rPr>
        <w:t>25 February-1 March 2019</w:t>
      </w:r>
    </w:p>
    <w:p w14:paraId="41F9B491" w14:textId="49EFE19E" w:rsidR="0097167E" w:rsidRPr="00B83A3D"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83A3D" w:rsidRDefault="00A07E02" w:rsidP="00A07E02">
      <w:pPr>
        <w:pStyle w:val="3GPPHeader"/>
        <w:rPr>
          <w:rFonts w:ascii="Arial" w:hAnsi="Arial" w:cs="Arial"/>
          <w:color w:val="FF0000"/>
          <w:szCs w:val="24"/>
          <w:lang w:eastAsia="zh-TW"/>
        </w:rPr>
      </w:pPr>
    </w:p>
    <w:p w14:paraId="027912C8" w14:textId="6EAB64A6" w:rsidR="00A07E02" w:rsidRPr="00B83A3D" w:rsidRDefault="00A07E02" w:rsidP="00A07E02">
      <w:pPr>
        <w:pStyle w:val="3GPPHeader"/>
        <w:rPr>
          <w:rFonts w:ascii="Arial" w:hAnsi="Arial" w:cs="Arial"/>
          <w:szCs w:val="24"/>
        </w:rPr>
      </w:pPr>
      <w:r w:rsidRPr="00B83A3D">
        <w:rPr>
          <w:rFonts w:ascii="Arial" w:hAnsi="Arial" w:cs="Arial"/>
          <w:szCs w:val="24"/>
        </w:rPr>
        <w:t>Agenda Item:</w:t>
      </w:r>
      <w:r w:rsidRPr="00B83A3D">
        <w:rPr>
          <w:rFonts w:ascii="Arial" w:hAnsi="Arial" w:cs="Arial"/>
          <w:szCs w:val="24"/>
        </w:rPr>
        <w:tab/>
      </w:r>
      <w:r w:rsidR="00505F8C">
        <w:rPr>
          <w:rFonts w:ascii="Arial" w:hAnsi="Arial" w:cs="Arial"/>
          <w:szCs w:val="24"/>
        </w:rPr>
        <w:t>11.8.2</w:t>
      </w:r>
    </w:p>
    <w:p w14:paraId="79D236BA" w14:textId="77777777" w:rsidR="00A07E02" w:rsidRPr="00B83A3D" w:rsidRDefault="00A07E02" w:rsidP="00A07E02">
      <w:pPr>
        <w:pStyle w:val="3GPPHeader"/>
        <w:rPr>
          <w:rFonts w:ascii="Arial" w:hAnsi="Arial" w:cs="Arial"/>
          <w:szCs w:val="24"/>
        </w:rPr>
      </w:pPr>
      <w:r w:rsidRPr="00B83A3D">
        <w:rPr>
          <w:rFonts w:ascii="Arial" w:hAnsi="Arial" w:cs="Arial"/>
          <w:szCs w:val="24"/>
        </w:rPr>
        <w:t xml:space="preserve">Source: </w:t>
      </w:r>
      <w:r w:rsidRPr="00B83A3D">
        <w:rPr>
          <w:rFonts w:ascii="Arial" w:hAnsi="Arial" w:cs="Arial"/>
          <w:szCs w:val="24"/>
        </w:rPr>
        <w:tab/>
      </w:r>
      <w:proofErr w:type="spellStart"/>
      <w:r w:rsidRPr="00B83A3D">
        <w:rPr>
          <w:rFonts w:ascii="Arial" w:hAnsi="Arial" w:cs="Arial"/>
          <w:szCs w:val="24"/>
        </w:rPr>
        <w:t>MediaTek</w:t>
      </w:r>
      <w:proofErr w:type="spellEnd"/>
      <w:r w:rsidRPr="00B83A3D">
        <w:rPr>
          <w:rFonts w:ascii="Arial" w:hAnsi="Arial" w:cs="Arial"/>
          <w:szCs w:val="24"/>
        </w:rPr>
        <w:t xml:space="preserve"> Inc.</w:t>
      </w:r>
    </w:p>
    <w:p w14:paraId="108A86FF" w14:textId="4FF95059" w:rsidR="00A07E02" w:rsidRPr="00B83A3D" w:rsidRDefault="00FF0668" w:rsidP="00A07E02">
      <w:pPr>
        <w:pStyle w:val="3GPPHeaderArial"/>
        <w:tabs>
          <w:tab w:val="left" w:pos="1701"/>
        </w:tabs>
        <w:rPr>
          <w:b/>
          <w:sz w:val="24"/>
          <w:lang w:val="en-GB" w:eastAsia="zh-TW"/>
        </w:rPr>
      </w:pPr>
      <w:r w:rsidRPr="00B83A3D">
        <w:rPr>
          <w:b/>
          <w:sz w:val="24"/>
          <w:lang w:val="en-GB"/>
        </w:rPr>
        <w:t xml:space="preserve">Title:  </w:t>
      </w:r>
      <w:r w:rsidRPr="00B83A3D">
        <w:rPr>
          <w:b/>
          <w:sz w:val="24"/>
          <w:lang w:val="en-GB"/>
        </w:rPr>
        <w:tab/>
      </w:r>
      <w:r w:rsidR="000C6338">
        <w:rPr>
          <w:b/>
          <w:sz w:val="24"/>
          <w:lang w:val="en-GB"/>
        </w:rPr>
        <w:t>Positioning server functionality in NG-RAN</w:t>
      </w:r>
    </w:p>
    <w:p w14:paraId="2D698DC6" w14:textId="77777777" w:rsidR="00A07E02" w:rsidRPr="00B83A3D" w:rsidRDefault="00A07E02" w:rsidP="00A07E02">
      <w:pPr>
        <w:pStyle w:val="3GPPHeaderArial"/>
        <w:tabs>
          <w:tab w:val="left" w:pos="1701"/>
        </w:tabs>
        <w:rPr>
          <w:b/>
          <w:sz w:val="24"/>
          <w:lang w:val="en-GB" w:eastAsia="zh-TW"/>
        </w:rPr>
      </w:pPr>
    </w:p>
    <w:p w14:paraId="4570B40E" w14:textId="77777777" w:rsidR="00A07E02" w:rsidRPr="00B83A3D" w:rsidRDefault="00A07E02" w:rsidP="00A07E02">
      <w:pPr>
        <w:pStyle w:val="3GPPHeader"/>
        <w:rPr>
          <w:rFonts w:ascii="Arial" w:hAnsi="Arial" w:cs="Arial"/>
          <w:szCs w:val="24"/>
        </w:rPr>
      </w:pPr>
      <w:r w:rsidRPr="00B83A3D">
        <w:rPr>
          <w:rFonts w:ascii="Arial" w:hAnsi="Arial" w:cs="Arial"/>
          <w:szCs w:val="24"/>
        </w:rPr>
        <w:t>Document for:</w:t>
      </w:r>
      <w:r w:rsidRPr="00B83A3D">
        <w:rPr>
          <w:rFonts w:ascii="Arial" w:hAnsi="Arial" w:cs="Arial"/>
          <w:szCs w:val="24"/>
        </w:rPr>
        <w:tab/>
        <w:t>Discussion and decision</w:t>
      </w:r>
    </w:p>
    <w:p w14:paraId="0FB84FBC" w14:textId="77777777" w:rsidR="00A07E02" w:rsidRPr="00B83A3D" w:rsidRDefault="00A07E02" w:rsidP="00A07E02">
      <w:pPr>
        <w:pStyle w:val="Heading1"/>
        <w:overflowPunct w:val="0"/>
        <w:autoSpaceDE w:val="0"/>
        <w:autoSpaceDN w:val="0"/>
        <w:adjustRightInd w:val="0"/>
        <w:rPr>
          <w:rFonts w:eastAsia="PMingLiU" w:cs="Arial"/>
        </w:rPr>
      </w:pPr>
      <w:r w:rsidRPr="00B83A3D">
        <w:rPr>
          <w:rFonts w:eastAsia="PMingLiU" w:cs="Arial"/>
        </w:rPr>
        <w:t>Introduction</w:t>
      </w:r>
      <w:bookmarkStart w:id="2" w:name="OLE_LINK39"/>
      <w:bookmarkStart w:id="3" w:name="OLE_LINK38"/>
      <w:bookmarkStart w:id="4" w:name="OLE_LINK37"/>
    </w:p>
    <w:p w14:paraId="54A8544A" w14:textId="291295BF" w:rsidR="00202DDC" w:rsidRPr="00B83A3D" w:rsidRDefault="003A5C93" w:rsidP="00820C96">
      <w:pPr>
        <w:spacing w:after="120"/>
        <w:jc w:val="both"/>
        <w:rPr>
          <w:rFonts w:ascii="Arial" w:hAnsi="Arial" w:cs="Arial"/>
          <w:sz w:val="20"/>
          <w:szCs w:val="20"/>
          <w:lang w:val="en-GB"/>
        </w:rPr>
      </w:pPr>
      <w:r>
        <w:rPr>
          <w:rFonts w:ascii="Arial" w:hAnsi="Arial" w:cs="Arial"/>
          <w:sz w:val="20"/>
          <w:szCs w:val="20"/>
          <w:lang w:val="en-GB"/>
        </w:rPr>
        <w:t xml:space="preserve">During discussions at RAN2#104, it was agreed that RAN2 can further consider the possibility of decentralising some positioning server functionality into the </w:t>
      </w:r>
      <w:proofErr w:type="spellStart"/>
      <w:r>
        <w:rPr>
          <w:rFonts w:ascii="Arial" w:hAnsi="Arial" w:cs="Arial"/>
          <w:sz w:val="20"/>
          <w:szCs w:val="20"/>
          <w:lang w:val="en-GB"/>
        </w:rPr>
        <w:t>gNB</w:t>
      </w:r>
      <w:proofErr w:type="spellEnd"/>
      <w:r w:rsidR="003B04B8" w:rsidRPr="00B83A3D">
        <w:rPr>
          <w:rFonts w:ascii="Arial" w:hAnsi="Arial" w:cs="Arial"/>
          <w:sz w:val="20"/>
          <w:szCs w:val="20"/>
          <w:lang w:val="en-GB"/>
        </w:rPr>
        <w:t>.</w:t>
      </w:r>
      <w:r>
        <w:rPr>
          <w:rFonts w:ascii="Arial" w:hAnsi="Arial" w:cs="Arial"/>
          <w:sz w:val="20"/>
          <w:szCs w:val="20"/>
          <w:lang w:val="en-GB"/>
        </w:rPr>
        <w:t xml:space="preserve">  SA2 have agreed that “</w:t>
      </w:r>
      <w:r>
        <w:rPr>
          <w:lang w:eastAsia="zh-CN"/>
        </w:rPr>
        <w:t xml:space="preserve">NG-RAN node enhanced with the support of location management functionality may be selected to perform UE positioning locally in the RAN under the condition that RAN WG(s) concludes that NG-RAN supports location management functionality” ([1], section 8.8).  </w:t>
      </w:r>
      <w:r w:rsidR="00733E0D">
        <w:rPr>
          <w:lang w:eastAsia="zh-CN"/>
        </w:rPr>
        <w:t>During email discussion [104#35] (</w:t>
      </w:r>
      <w:proofErr w:type="spellStart"/>
      <w:r w:rsidR="00733E0D">
        <w:rPr>
          <w:lang w:eastAsia="zh-CN"/>
        </w:rPr>
        <w:t>summarised</w:t>
      </w:r>
      <w:proofErr w:type="spellEnd"/>
      <w:r w:rsidR="00733E0D">
        <w:rPr>
          <w:lang w:eastAsia="zh-CN"/>
        </w:rPr>
        <w:t xml:space="preserve"> in [2]), there was majority support for allowing location management functionality in NG-RAN.  </w:t>
      </w:r>
      <w:r>
        <w:rPr>
          <w:rFonts w:ascii="Arial" w:hAnsi="Arial" w:cs="Arial"/>
          <w:sz w:val="20"/>
          <w:szCs w:val="20"/>
          <w:lang w:val="en-GB"/>
        </w:rPr>
        <w:t xml:space="preserve">This document examines </w:t>
      </w:r>
      <w:r w:rsidR="009A4C0B">
        <w:rPr>
          <w:rFonts w:ascii="Arial" w:hAnsi="Arial" w:cs="Arial"/>
          <w:sz w:val="20"/>
          <w:szCs w:val="20"/>
          <w:lang w:val="en-GB"/>
        </w:rPr>
        <w:t xml:space="preserve">the </w:t>
      </w:r>
      <w:r w:rsidR="00E11B57">
        <w:rPr>
          <w:rFonts w:ascii="Arial" w:hAnsi="Arial" w:cs="Arial"/>
          <w:sz w:val="20"/>
          <w:szCs w:val="20"/>
          <w:lang w:val="en-GB"/>
        </w:rPr>
        <w:t xml:space="preserve">protocol </w:t>
      </w:r>
      <w:r w:rsidR="009A4C0B">
        <w:rPr>
          <w:rFonts w:ascii="Arial" w:hAnsi="Arial" w:cs="Arial"/>
          <w:sz w:val="20"/>
          <w:szCs w:val="20"/>
          <w:lang w:val="en-GB"/>
        </w:rPr>
        <w:t xml:space="preserve">impact of </w:t>
      </w:r>
      <w:r>
        <w:rPr>
          <w:rFonts w:ascii="Arial" w:hAnsi="Arial" w:cs="Arial"/>
          <w:sz w:val="20"/>
          <w:szCs w:val="20"/>
          <w:lang w:val="en-GB"/>
        </w:rPr>
        <w:t>such an approach.</w:t>
      </w:r>
    </w:p>
    <w:p w14:paraId="2D9A0F46" w14:textId="721FCEAD" w:rsidR="00202DDC" w:rsidRPr="00B83A3D" w:rsidRDefault="00202DDC" w:rsidP="00202DDC">
      <w:pPr>
        <w:pStyle w:val="Heading1"/>
        <w:overflowPunct w:val="0"/>
        <w:autoSpaceDE w:val="0"/>
        <w:autoSpaceDN w:val="0"/>
        <w:adjustRightInd w:val="0"/>
        <w:rPr>
          <w:rFonts w:eastAsia="PMingLiU" w:cs="Arial"/>
        </w:rPr>
      </w:pPr>
      <w:bookmarkStart w:id="5" w:name="OLE_LINK41"/>
      <w:bookmarkStart w:id="6" w:name="OLE_LINK24"/>
      <w:bookmarkStart w:id="7" w:name="OLE_LINK17"/>
      <w:bookmarkStart w:id="8" w:name="OLE_LINK16"/>
      <w:bookmarkEnd w:id="2"/>
      <w:bookmarkEnd w:id="3"/>
      <w:bookmarkEnd w:id="4"/>
      <w:r w:rsidRPr="00B83A3D">
        <w:rPr>
          <w:rFonts w:eastAsia="PMingLiU" w:cs="Arial"/>
        </w:rPr>
        <w:t>Discussion</w:t>
      </w:r>
    </w:p>
    <w:p w14:paraId="0E8AE5C4" w14:textId="62FD2096" w:rsidR="009A4C0B" w:rsidRDefault="009A4C0B" w:rsidP="00F75A95">
      <w:pPr>
        <w:spacing w:after="240"/>
        <w:rPr>
          <w:lang w:val="en-GB"/>
        </w:rPr>
      </w:pPr>
      <w:r>
        <w:rPr>
          <w:lang w:val="en-GB"/>
        </w:rPr>
        <w:t>Considering the SA2 status and the need to support very low latency in some commercial use cases, having positioning functionality at the edge of the network is attractive.  During a typical positioning operation, communicating with the NG-RAN instead of the CN would save several RAN-CN round trips (e.g., considering request/response pairs for retrieving the UE capability, delivery of assistance data, and finally the delivery of actual location measurements—and further, the possibility of multiple positioning operations in succession towards the same UE, such as performing E-CID before OTDOA).</w:t>
      </w:r>
    </w:p>
    <w:p w14:paraId="0B54F401" w14:textId="6AA3F4E4" w:rsidR="00E11B57" w:rsidRDefault="00E11B57" w:rsidP="00F75A95">
      <w:pPr>
        <w:spacing w:after="240"/>
        <w:rPr>
          <w:lang w:val="en-GB"/>
        </w:rPr>
      </w:pPr>
      <w:r>
        <w:rPr>
          <w:lang w:val="en-GB"/>
        </w:rPr>
        <w:t>As</w:t>
      </w:r>
      <w:r w:rsidR="00881F0F">
        <w:rPr>
          <w:lang w:val="en-GB"/>
        </w:rPr>
        <w:t xml:space="preserve"> noted in discussion at RAN2#104</w:t>
      </w:r>
      <w:r>
        <w:rPr>
          <w:lang w:val="en-GB"/>
        </w:rPr>
        <w:t xml:space="preserve">, there are additional reasons to consider locating server functionality at the </w:t>
      </w:r>
      <w:proofErr w:type="spellStart"/>
      <w:r>
        <w:rPr>
          <w:lang w:val="en-GB"/>
        </w:rPr>
        <w:t>gNB</w:t>
      </w:r>
      <w:proofErr w:type="spellEnd"/>
      <w:r>
        <w:rPr>
          <w:lang w:val="en-GB"/>
        </w:rPr>
        <w:t xml:space="preserve">, such as scalability and, for some use cases (e.g. </w:t>
      </w:r>
      <w:proofErr w:type="spellStart"/>
      <w:r>
        <w:rPr>
          <w:lang w:val="en-GB"/>
        </w:rPr>
        <w:t>IIoT</w:t>
      </w:r>
      <w:proofErr w:type="spellEnd"/>
      <w:r>
        <w:rPr>
          <w:lang w:val="en-GB"/>
        </w:rPr>
        <w:t>), the ability to limit the distribution of positioning related information through the network.  Thus on balance, we consider that the “server at the edge” architecture is a beneficial option to have available.</w:t>
      </w:r>
    </w:p>
    <w:p w14:paraId="23D7FBD3" w14:textId="71B281AD" w:rsidR="009A4C0B" w:rsidRPr="009A4C0B" w:rsidRDefault="009A4C0B" w:rsidP="00F75A95">
      <w:pPr>
        <w:spacing w:after="240"/>
        <w:rPr>
          <w:lang w:val="en-GB"/>
        </w:rPr>
      </w:pPr>
      <w:r>
        <w:rPr>
          <w:b/>
          <w:lang w:val="en-GB"/>
        </w:rPr>
        <w:t>Proposal 1:</w:t>
      </w:r>
      <w:r>
        <w:rPr>
          <w:lang w:val="en-GB"/>
        </w:rPr>
        <w:t xml:space="preserve"> From RAN2 perspective, it is beneficial to allow positioning functionality at the </w:t>
      </w:r>
      <w:proofErr w:type="spellStart"/>
      <w:r>
        <w:rPr>
          <w:lang w:val="en-GB"/>
        </w:rPr>
        <w:t>gNB</w:t>
      </w:r>
      <w:proofErr w:type="spellEnd"/>
      <w:r>
        <w:rPr>
          <w:lang w:val="en-GB"/>
        </w:rPr>
        <w:t>.</w:t>
      </w:r>
    </w:p>
    <w:p w14:paraId="38534181" w14:textId="04C59A05" w:rsidR="00C847D5" w:rsidRDefault="003A5C93" w:rsidP="00F75A95">
      <w:pPr>
        <w:spacing w:after="240"/>
        <w:rPr>
          <w:lang w:val="en-GB"/>
        </w:rPr>
      </w:pPr>
      <w:r>
        <w:rPr>
          <w:lang w:val="en-GB"/>
        </w:rPr>
        <w:t>The potential latency benefits depend on reducing the number of roundtrips between the UE and the CN, thus any “local server” functionality should be designed to support as much of the UE-facing positioning functionality as possible.  For example, it is desirable</w:t>
      </w:r>
      <w:r w:rsidR="009A4C0B">
        <w:rPr>
          <w:lang w:val="en-GB"/>
        </w:rPr>
        <w:t xml:space="preserve"> in terms of reduced latency</w:t>
      </w:r>
      <w:r>
        <w:rPr>
          <w:lang w:val="en-GB"/>
        </w:rPr>
        <w:t xml:space="preserve"> if not only the request for measurements (LPP Request Location Information) comes from the local server, but also the assistance data (LPP Provide Assistance Data) and the request for UE capabilities (LPP Request Capabilities).</w:t>
      </w:r>
      <w:r w:rsidR="009B7160">
        <w:rPr>
          <w:lang w:val="en-GB"/>
        </w:rPr>
        <w:t xml:space="preserve">  This does not necessarily mean that all the same methods would be supported by a local server and a centralised one (for instance, UTDOA might not be a good match for a local server).</w:t>
      </w:r>
    </w:p>
    <w:p w14:paraId="6759DD3C" w14:textId="711A06FC" w:rsidR="009A4C0B" w:rsidRPr="009A4C0B" w:rsidRDefault="009A4C0B" w:rsidP="00F75A95">
      <w:pPr>
        <w:spacing w:after="240"/>
        <w:rPr>
          <w:lang w:val="en-GB"/>
        </w:rPr>
      </w:pPr>
      <w:r>
        <w:rPr>
          <w:b/>
          <w:lang w:val="en-GB"/>
        </w:rPr>
        <w:t>Proposal 2:</w:t>
      </w:r>
      <w:r>
        <w:rPr>
          <w:lang w:val="en-GB"/>
        </w:rPr>
        <w:t xml:space="preserve"> If the </w:t>
      </w:r>
      <w:proofErr w:type="spellStart"/>
      <w:r>
        <w:rPr>
          <w:lang w:val="en-GB"/>
        </w:rPr>
        <w:t>gNB</w:t>
      </w:r>
      <w:proofErr w:type="spellEnd"/>
      <w:r>
        <w:rPr>
          <w:lang w:val="en-GB"/>
        </w:rPr>
        <w:t xml:space="preserve"> supports location management functionality, it should support the full suite of LPP procedures.</w:t>
      </w:r>
    </w:p>
    <w:p w14:paraId="7835A495" w14:textId="01381AA3" w:rsidR="00E11B57" w:rsidRDefault="00E11B57" w:rsidP="00F75A95">
      <w:pPr>
        <w:spacing w:after="240"/>
        <w:rPr>
          <w:lang w:val="en-GB"/>
        </w:rPr>
      </w:pPr>
      <w:r>
        <w:rPr>
          <w:lang w:val="en-GB"/>
        </w:rPr>
        <w:lastRenderedPageBreak/>
        <w:t xml:space="preserve">Support of LPP at the </w:t>
      </w:r>
      <w:proofErr w:type="spellStart"/>
      <w:r>
        <w:rPr>
          <w:lang w:val="en-GB"/>
        </w:rPr>
        <w:t>gNB</w:t>
      </w:r>
      <w:proofErr w:type="spellEnd"/>
      <w:r>
        <w:rPr>
          <w:lang w:val="en-GB"/>
        </w:rPr>
        <w:t xml:space="preserve"> requires some form of transport, e.g. containerising LPP in an RRC message.  The </w:t>
      </w:r>
      <w:proofErr w:type="spellStart"/>
      <w:r>
        <w:rPr>
          <w:lang w:val="en-GB"/>
        </w:rPr>
        <w:t>DLInformationTransfer</w:t>
      </w:r>
      <w:proofErr w:type="spellEnd"/>
      <w:r>
        <w:rPr>
          <w:lang w:val="en-GB"/>
        </w:rPr>
        <w:t xml:space="preserve"> </w:t>
      </w:r>
      <w:r w:rsidR="001D21EA">
        <w:rPr>
          <w:lang w:val="en-GB"/>
        </w:rPr>
        <w:t xml:space="preserve">and </w:t>
      </w:r>
      <w:proofErr w:type="spellStart"/>
      <w:r w:rsidR="001D21EA">
        <w:rPr>
          <w:lang w:val="en-GB"/>
        </w:rPr>
        <w:t>ULInformationTransfer</w:t>
      </w:r>
      <w:proofErr w:type="spellEnd"/>
      <w:r w:rsidR="001D21EA">
        <w:rPr>
          <w:lang w:val="en-GB"/>
        </w:rPr>
        <w:t xml:space="preserve"> </w:t>
      </w:r>
      <w:r>
        <w:rPr>
          <w:lang w:val="en-GB"/>
        </w:rPr>
        <w:t>message</w:t>
      </w:r>
      <w:r w:rsidR="001D21EA">
        <w:rPr>
          <w:lang w:val="en-GB"/>
        </w:rPr>
        <w:t>s</w:t>
      </w:r>
      <w:r>
        <w:rPr>
          <w:lang w:val="en-GB"/>
        </w:rPr>
        <w:t xml:space="preserve"> could be </w:t>
      </w:r>
      <w:proofErr w:type="spellStart"/>
      <w:r>
        <w:rPr>
          <w:lang w:val="en-GB"/>
        </w:rPr>
        <w:t>noncritically</w:t>
      </w:r>
      <w:proofErr w:type="spellEnd"/>
      <w:r>
        <w:rPr>
          <w:lang w:val="en-GB"/>
        </w:rPr>
        <w:t xml:space="preserve"> extended to have an LPP container as an alternative to the existing NAS container, or </w:t>
      </w:r>
      <w:r w:rsidR="001D21EA">
        <w:rPr>
          <w:lang w:val="en-GB"/>
        </w:rPr>
        <w:t xml:space="preserve">a pair of </w:t>
      </w:r>
      <w:r>
        <w:rPr>
          <w:lang w:val="en-GB"/>
        </w:rPr>
        <w:t>new messages</w:t>
      </w:r>
      <w:r w:rsidR="001D21EA">
        <w:rPr>
          <w:lang w:val="en-GB"/>
        </w:rPr>
        <w:t xml:space="preserve"> covering the DL and UL directions</w:t>
      </w:r>
      <w:r>
        <w:rPr>
          <w:lang w:val="en-GB"/>
        </w:rPr>
        <w:t xml:space="preserve"> (</w:t>
      </w:r>
      <w:proofErr w:type="spellStart"/>
      <w:r>
        <w:rPr>
          <w:lang w:val="en-GB"/>
        </w:rPr>
        <w:t>LPPDLInformationTransfer</w:t>
      </w:r>
      <w:proofErr w:type="spellEnd"/>
      <w:r>
        <w:rPr>
          <w:lang w:val="en-GB"/>
        </w:rPr>
        <w:t>/</w:t>
      </w:r>
      <w:proofErr w:type="spellStart"/>
      <w:r>
        <w:rPr>
          <w:lang w:val="en-GB"/>
        </w:rPr>
        <w:t>LPPULInformationTransfer</w:t>
      </w:r>
      <w:proofErr w:type="spellEnd"/>
      <w:r>
        <w:rPr>
          <w:lang w:val="en-GB"/>
        </w:rPr>
        <w:t>?) could be defined specifically for this purpose.</w:t>
      </w:r>
    </w:p>
    <w:p w14:paraId="1BED0BC6" w14:textId="51B4B2D8" w:rsidR="00E11B57" w:rsidRPr="00E11B57" w:rsidRDefault="00E11B57" w:rsidP="00F75A95">
      <w:pPr>
        <w:spacing w:after="240"/>
        <w:rPr>
          <w:lang w:val="en-GB"/>
        </w:rPr>
      </w:pPr>
      <w:r>
        <w:rPr>
          <w:b/>
          <w:lang w:val="en-GB"/>
        </w:rPr>
        <w:t>Proposal 3:</w:t>
      </w:r>
      <w:r>
        <w:rPr>
          <w:lang w:val="en-GB"/>
        </w:rPr>
        <w:t xml:space="preserve"> Transport of LPP messages between the </w:t>
      </w:r>
      <w:proofErr w:type="spellStart"/>
      <w:r>
        <w:rPr>
          <w:lang w:val="en-GB"/>
        </w:rPr>
        <w:t>gNB</w:t>
      </w:r>
      <w:proofErr w:type="spellEnd"/>
      <w:r>
        <w:rPr>
          <w:lang w:val="en-GB"/>
        </w:rPr>
        <w:t xml:space="preserve"> and the UE can be supported by the </w:t>
      </w:r>
      <w:proofErr w:type="spellStart"/>
      <w:r>
        <w:rPr>
          <w:lang w:val="en-GB"/>
        </w:rPr>
        <w:t>DLInformationTransfer</w:t>
      </w:r>
      <w:proofErr w:type="spellEnd"/>
      <w:r>
        <w:rPr>
          <w:lang w:val="en-GB"/>
        </w:rPr>
        <w:t xml:space="preserve"> </w:t>
      </w:r>
      <w:r w:rsidR="001D21EA">
        <w:rPr>
          <w:lang w:val="en-GB"/>
        </w:rPr>
        <w:t xml:space="preserve">and </w:t>
      </w:r>
      <w:proofErr w:type="spellStart"/>
      <w:r w:rsidR="001D21EA">
        <w:rPr>
          <w:lang w:val="en-GB"/>
        </w:rPr>
        <w:t>ULInformationTransfer</w:t>
      </w:r>
      <w:proofErr w:type="spellEnd"/>
      <w:r w:rsidR="001D21EA">
        <w:rPr>
          <w:lang w:val="en-GB"/>
        </w:rPr>
        <w:t xml:space="preserve"> </w:t>
      </w:r>
      <w:r>
        <w:rPr>
          <w:lang w:val="en-GB"/>
        </w:rPr>
        <w:t>message</w:t>
      </w:r>
      <w:r w:rsidR="001D21EA">
        <w:rPr>
          <w:lang w:val="en-GB"/>
        </w:rPr>
        <w:t>s</w:t>
      </w:r>
      <w:r>
        <w:rPr>
          <w:lang w:val="en-GB"/>
        </w:rPr>
        <w:t xml:space="preserve"> or </w:t>
      </w:r>
      <w:r w:rsidR="001D21EA">
        <w:rPr>
          <w:lang w:val="en-GB"/>
        </w:rPr>
        <w:t xml:space="preserve">by </w:t>
      </w:r>
      <w:r>
        <w:rPr>
          <w:lang w:val="en-GB"/>
        </w:rPr>
        <w:t xml:space="preserve">a new </w:t>
      </w:r>
      <w:r w:rsidR="001D21EA">
        <w:rPr>
          <w:lang w:val="en-GB"/>
        </w:rPr>
        <w:t xml:space="preserve">pair of </w:t>
      </w:r>
      <w:r w:rsidR="00B262D2">
        <w:rPr>
          <w:lang w:val="en-GB"/>
        </w:rPr>
        <w:t xml:space="preserve">RRC </w:t>
      </w:r>
      <w:r>
        <w:rPr>
          <w:lang w:val="en-GB"/>
        </w:rPr>
        <w:t>message</w:t>
      </w:r>
      <w:r w:rsidR="001D21EA">
        <w:rPr>
          <w:lang w:val="en-GB"/>
        </w:rPr>
        <w:t>s</w:t>
      </w:r>
      <w:r>
        <w:rPr>
          <w:lang w:val="en-GB"/>
        </w:rPr>
        <w:t xml:space="preserve">.  A decision </w:t>
      </w:r>
      <w:r w:rsidR="001D21EA">
        <w:rPr>
          <w:lang w:val="en-GB"/>
        </w:rPr>
        <w:t>on which message</w:t>
      </w:r>
      <w:r>
        <w:rPr>
          <w:lang w:val="en-GB"/>
        </w:rPr>
        <w:t>s</w:t>
      </w:r>
      <w:r w:rsidR="001D21EA">
        <w:rPr>
          <w:lang w:val="en-GB"/>
        </w:rPr>
        <w:t xml:space="preserve"> are</w:t>
      </w:r>
      <w:r>
        <w:rPr>
          <w:lang w:val="en-GB"/>
        </w:rPr>
        <w:t xml:space="preserve"> used can be taken in the normative phase.</w:t>
      </w:r>
    </w:p>
    <w:p w14:paraId="36C190AF" w14:textId="5A1408FF" w:rsidR="009B0F3B" w:rsidRDefault="002B0584" w:rsidP="002B0584">
      <w:pPr>
        <w:spacing w:after="240"/>
        <w:rPr>
          <w:lang w:val="en-GB"/>
        </w:rPr>
      </w:pPr>
      <w:r>
        <w:rPr>
          <w:lang w:val="en-GB"/>
        </w:rPr>
        <w:t xml:space="preserve">Transporting LPP via RRC would create the somewhat peculiar situation that an LPP session could involve either NAS or RRC transport, and the UE needs to be aware of which protocol is in use.  The LPP requirements for message transmission indicate “deliver the message to lower layers for transmission”, </w:t>
      </w:r>
      <w:r w:rsidR="009B7160">
        <w:rPr>
          <w:lang w:val="en-GB"/>
        </w:rPr>
        <w:t xml:space="preserve">which is still valid, but the definition of “lower layers” would be flexible and the UE implementation </w:t>
      </w:r>
      <w:r>
        <w:rPr>
          <w:lang w:val="en-GB"/>
        </w:rPr>
        <w:t>would need to be sensitive to whether the a</w:t>
      </w:r>
      <w:r w:rsidR="009B0F3B">
        <w:rPr>
          <w:lang w:val="en-GB"/>
        </w:rPr>
        <w:t>ctive session used NAS or RRC.</w:t>
      </w:r>
    </w:p>
    <w:p w14:paraId="3CD74FFF" w14:textId="6ACE7002" w:rsidR="002B0584" w:rsidRDefault="0012439D" w:rsidP="002B0584">
      <w:pPr>
        <w:spacing w:after="240"/>
        <w:rPr>
          <w:lang w:val="en-GB"/>
        </w:rPr>
      </w:pPr>
      <w:r>
        <w:rPr>
          <w:lang w:val="en-GB"/>
        </w:rPr>
        <w:t>In most cases, it seems obvious that the UE would follow the protocol established by the selected server in the first message.  However,</w:t>
      </w:r>
      <w:r w:rsidR="009B0F3B">
        <w:rPr>
          <w:lang w:val="en-GB"/>
        </w:rPr>
        <w:t xml:space="preserve"> i</w:t>
      </w:r>
      <w:r w:rsidR="002B0584">
        <w:rPr>
          <w:lang w:val="en-GB"/>
        </w:rPr>
        <w:t>n the case of an MO-LR</w:t>
      </w:r>
      <w:r w:rsidR="009B7160">
        <w:rPr>
          <w:lang w:val="en-GB"/>
        </w:rPr>
        <w:t xml:space="preserve"> (not identified for support in the RAN study item, but considered by SA2 in their related study</w:t>
      </w:r>
      <w:r w:rsidR="009B0F3B">
        <w:rPr>
          <w:lang w:val="en-GB"/>
        </w:rPr>
        <w:t>)</w:t>
      </w:r>
      <w:r w:rsidR="002B0584">
        <w:rPr>
          <w:lang w:val="en-GB"/>
        </w:rPr>
        <w:t xml:space="preserve">, the UE would need to take this decision itself, as the first LPP message can come from the UE in this scenario.  In general, the UE </w:t>
      </w:r>
      <w:r w:rsidR="009B0F3B">
        <w:rPr>
          <w:lang w:val="en-GB"/>
        </w:rPr>
        <w:t>would</w:t>
      </w:r>
      <w:r w:rsidR="002B0584">
        <w:rPr>
          <w:lang w:val="en-GB"/>
        </w:rPr>
        <w:t xml:space="preserve"> not know at the time of an MO-LR i</w:t>
      </w:r>
      <w:r w:rsidR="009B0F3B">
        <w:rPr>
          <w:lang w:val="en-GB"/>
        </w:rPr>
        <w:t xml:space="preserve">nitiation if the serving </w:t>
      </w:r>
      <w:proofErr w:type="spellStart"/>
      <w:r w:rsidR="009B0F3B">
        <w:rPr>
          <w:lang w:val="en-GB"/>
        </w:rPr>
        <w:t>gNB</w:t>
      </w:r>
      <w:proofErr w:type="spellEnd"/>
      <w:r w:rsidR="009B0F3B">
        <w:rPr>
          <w:lang w:val="en-GB"/>
        </w:rPr>
        <w:t xml:space="preserve"> had</w:t>
      </w:r>
      <w:r w:rsidR="002B0584">
        <w:rPr>
          <w:lang w:val="en-GB"/>
        </w:rPr>
        <w:t xml:space="preserve"> positioning server functionality; thus it </w:t>
      </w:r>
      <w:r w:rsidR="009B0F3B">
        <w:rPr>
          <w:lang w:val="en-GB"/>
        </w:rPr>
        <w:t xml:space="preserve">would </w:t>
      </w:r>
      <w:r w:rsidR="002B0584">
        <w:rPr>
          <w:lang w:val="en-GB"/>
        </w:rPr>
        <w:t xml:space="preserve">need to contact the </w:t>
      </w:r>
      <w:r w:rsidR="009B0F3B">
        <w:rPr>
          <w:lang w:val="en-GB"/>
        </w:rPr>
        <w:t>AMF</w:t>
      </w:r>
      <w:r w:rsidR="002B0584">
        <w:rPr>
          <w:lang w:val="en-GB"/>
        </w:rPr>
        <w:t xml:space="preserve"> as usual, which means the initial LPP message </w:t>
      </w:r>
      <w:r w:rsidR="009B0F3B">
        <w:rPr>
          <w:lang w:val="en-GB"/>
        </w:rPr>
        <w:t>would go</w:t>
      </w:r>
      <w:r w:rsidR="002B0584">
        <w:rPr>
          <w:lang w:val="en-GB"/>
        </w:rPr>
        <w:t xml:space="preserve"> through NAS.  For subsequent messages, it would be possible to have the constraint that MO-LR operations always use the centralised LMF, or to allow “redirection” of a positioning session so that later messages can use RRC as transport.</w:t>
      </w:r>
    </w:p>
    <w:p w14:paraId="786A2A6E" w14:textId="32EF9656" w:rsidR="002B0584" w:rsidRPr="002B0584" w:rsidRDefault="002B0584" w:rsidP="002B0584">
      <w:pPr>
        <w:spacing w:after="240"/>
        <w:rPr>
          <w:lang w:val="en-GB"/>
        </w:rPr>
      </w:pPr>
      <w:r>
        <w:rPr>
          <w:b/>
          <w:lang w:val="en-GB"/>
        </w:rPr>
        <w:t>Proposal 4:</w:t>
      </w:r>
      <w:r>
        <w:rPr>
          <w:lang w:val="en-GB"/>
        </w:rPr>
        <w:t xml:space="preserve"> Consider</w:t>
      </w:r>
      <w:r w:rsidR="009B0F3B">
        <w:rPr>
          <w:lang w:val="en-GB"/>
        </w:rPr>
        <w:t xml:space="preserve"> whether any steps should be taken in Rel-16 to ensure compatibility of the positioning server in RAN with the MO-LR functionality</w:t>
      </w:r>
      <w:r>
        <w:rPr>
          <w:lang w:val="en-GB"/>
        </w:rPr>
        <w:t>.</w:t>
      </w:r>
    </w:p>
    <w:p w14:paraId="25AF48BF" w14:textId="0CABFFDB" w:rsidR="002C6125" w:rsidRDefault="002C6125" w:rsidP="00D6535C">
      <w:pPr>
        <w:spacing w:after="240"/>
        <w:rPr>
          <w:lang w:val="en-GB" w:eastAsia="en-US"/>
        </w:rPr>
      </w:pPr>
      <w:r>
        <w:rPr>
          <w:lang w:val="en-GB" w:eastAsia="en-US"/>
        </w:rPr>
        <w:t xml:space="preserve">Regarding the </w:t>
      </w:r>
      <w:r w:rsidR="00A011C9">
        <w:rPr>
          <w:lang w:val="en-GB" w:eastAsia="en-US"/>
        </w:rPr>
        <w:t xml:space="preserve">delivery of </w:t>
      </w:r>
      <w:r>
        <w:rPr>
          <w:lang w:val="en-GB" w:eastAsia="en-US"/>
        </w:rPr>
        <w:t xml:space="preserve">assistance data, </w:t>
      </w:r>
      <w:r w:rsidR="00E11B57">
        <w:rPr>
          <w:lang w:val="en-GB" w:eastAsia="en-US"/>
        </w:rPr>
        <w:t xml:space="preserve">as noted above, </w:t>
      </w:r>
      <w:r>
        <w:rPr>
          <w:lang w:val="en-GB" w:eastAsia="en-US"/>
        </w:rPr>
        <w:t>it is obviously helpful from the latency standpoint if it can be sent from the</w:t>
      </w:r>
      <w:r w:rsidR="0012439D">
        <w:rPr>
          <w:lang w:val="en-GB" w:eastAsia="en-US"/>
        </w:rPr>
        <w:t xml:space="preserve"> local server in the</w:t>
      </w:r>
      <w:r>
        <w:rPr>
          <w:lang w:val="en-GB" w:eastAsia="en-US"/>
        </w:rPr>
        <w:t xml:space="preserve"> </w:t>
      </w:r>
      <w:proofErr w:type="spellStart"/>
      <w:r>
        <w:rPr>
          <w:lang w:val="en-GB" w:eastAsia="en-US"/>
        </w:rPr>
        <w:t>gNB</w:t>
      </w:r>
      <w:proofErr w:type="spellEnd"/>
      <w:r>
        <w:rPr>
          <w:lang w:val="en-GB" w:eastAsia="en-US"/>
        </w:rPr>
        <w:t xml:space="preserve"> rather than </w:t>
      </w:r>
      <w:r w:rsidR="009B7160">
        <w:rPr>
          <w:lang w:val="en-GB" w:eastAsia="en-US"/>
        </w:rPr>
        <w:t>a centralised</w:t>
      </w:r>
      <w:r>
        <w:rPr>
          <w:lang w:val="en-GB" w:eastAsia="en-US"/>
        </w:rPr>
        <w:t xml:space="preserve"> LMF, saving a CN roundtrip.  However, for the </w:t>
      </w:r>
      <w:proofErr w:type="spellStart"/>
      <w:r>
        <w:rPr>
          <w:lang w:val="en-GB" w:eastAsia="en-US"/>
        </w:rPr>
        <w:t>gNB</w:t>
      </w:r>
      <w:proofErr w:type="spellEnd"/>
      <w:r>
        <w:rPr>
          <w:lang w:val="en-GB" w:eastAsia="en-US"/>
        </w:rPr>
        <w:t xml:space="preserve"> to collect and maintain </w:t>
      </w:r>
      <w:r w:rsidR="00E11B57">
        <w:rPr>
          <w:lang w:val="en-GB" w:eastAsia="en-US"/>
        </w:rPr>
        <w:t xml:space="preserve">OTDOA </w:t>
      </w:r>
      <w:r>
        <w:rPr>
          <w:lang w:val="en-GB" w:eastAsia="en-US"/>
        </w:rPr>
        <w:t>assistance data, it would need to receive it either f</w:t>
      </w:r>
      <w:r w:rsidR="00A011C9">
        <w:rPr>
          <w:lang w:val="en-GB" w:eastAsia="en-US"/>
        </w:rPr>
        <w:t xml:space="preserve">rom other </w:t>
      </w:r>
      <w:proofErr w:type="spellStart"/>
      <w:r w:rsidR="00A011C9">
        <w:rPr>
          <w:lang w:val="en-GB" w:eastAsia="en-US"/>
        </w:rPr>
        <w:t>gNBs</w:t>
      </w:r>
      <w:proofErr w:type="spellEnd"/>
      <w:r w:rsidR="00A011C9">
        <w:rPr>
          <w:lang w:val="en-GB" w:eastAsia="en-US"/>
        </w:rPr>
        <w:t xml:space="preserve"> (similar to the </w:t>
      </w:r>
      <w:proofErr w:type="spellStart"/>
      <w:r w:rsidR="00A011C9">
        <w:rPr>
          <w:lang w:val="en-GB" w:eastAsia="en-US"/>
        </w:rPr>
        <w:t>NR</w:t>
      </w:r>
      <w:r>
        <w:rPr>
          <w:lang w:val="en-GB" w:eastAsia="en-US"/>
        </w:rPr>
        <w:t>PPa</w:t>
      </w:r>
      <w:proofErr w:type="spellEnd"/>
      <w:r>
        <w:rPr>
          <w:lang w:val="en-GB" w:eastAsia="en-US"/>
        </w:rPr>
        <w:t xml:space="preserve"> OTDOA information exchange) or from </w:t>
      </w:r>
      <w:r w:rsidR="009B7160">
        <w:rPr>
          <w:lang w:val="en-GB" w:eastAsia="en-US"/>
        </w:rPr>
        <w:t>a centralised</w:t>
      </w:r>
      <w:r>
        <w:rPr>
          <w:lang w:val="en-GB" w:eastAsia="en-US"/>
        </w:rPr>
        <w:t xml:space="preserve"> LMF</w:t>
      </w:r>
      <w:r w:rsidR="00284A4D">
        <w:rPr>
          <w:lang w:val="en-GB" w:eastAsia="en-US"/>
        </w:rPr>
        <w:t xml:space="preserve"> that has already collected it from the </w:t>
      </w:r>
      <w:proofErr w:type="spellStart"/>
      <w:r w:rsidR="00284A4D">
        <w:rPr>
          <w:lang w:val="en-GB" w:eastAsia="en-US"/>
        </w:rPr>
        <w:t>gNBs</w:t>
      </w:r>
      <w:proofErr w:type="spellEnd"/>
      <w:r w:rsidR="00A011C9">
        <w:rPr>
          <w:lang w:val="en-GB" w:eastAsia="en-US"/>
        </w:rPr>
        <w:t>.</w:t>
      </w:r>
    </w:p>
    <w:p w14:paraId="02C11C7B" w14:textId="04713CFB" w:rsidR="00A011C9" w:rsidRDefault="00A011C9" w:rsidP="00D6535C">
      <w:pPr>
        <w:spacing w:after="240"/>
        <w:rPr>
          <w:lang w:val="en-GB" w:eastAsia="en-US"/>
        </w:rPr>
      </w:pPr>
      <w:r>
        <w:rPr>
          <w:lang w:val="en-GB" w:eastAsia="en-US"/>
        </w:rPr>
        <w:t xml:space="preserve">If the </w:t>
      </w:r>
      <w:proofErr w:type="spellStart"/>
      <w:r>
        <w:rPr>
          <w:lang w:val="en-GB" w:eastAsia="en-US"/>
        </w:rPr>
        <w:t>gNB</w:t>
      </w:r>
      <w:proofErr w:type="spellEnd"/>
      <w:r>
        <w:rPr>
          <w:lang w:val="en-GB" w:eastAsia="en-US"/>
        </w:rPr>
        <w:t xml:space="preserve"> maintains assistance data itself based on configuration from neighbouring </w:t>
      </w:r>
      <w:proofErr w:type="spellStart"/>
      <w:r>
        <w:rPr>
          <w:lang w:val="en-GB" w:eastAsia="en-US"/>
        </w:rPr>
        <w:t>gNBs</w:t>
      </w:r>
      <w:proofErr w:type="spellEnd"/>
      <w:r>
        <w:rPr>
          <w:lang w:val="en-GB" w:eastAsia="en-US"/>
        </w:rPr>
        <w:t xml:space="preserve">, the natural approach is to support transporting </w:t>
      </w:r>
      <w:proofErr w:type="spellStart"/>
      <w:r>
        <w:rPr>
          <w:lang w:val="en-GB" w:eastAsia="en-US"/>
        </w:rPr>
        <w:t>NRPPa</w:t>
      </w:r>
      <w:proofErr w:type="spellEnd"/>
      <w:r>
        <w:rPr>
          <w:lang w:val="en-GB" w:eastAsia="en-US"/>
        </w:rPr>
        <w:t xml:space="preserve"> over </w:t>
      </w:r>
      <w:proofErr w:type="spellStart"/>
      <w:r>
        <w:rPr>
          <w:lang w:val="en-GB" w:eastAsia="en-US"/>
        </w:rPr>
        <w:t>Xn</w:t>
      </w:r>
      <w:proofErr w:type="spellEnd"/>
      <w:r>
        <w:rPr>
          <w:lang w:val="en-GB" w:eastAsia="en-US"/>
        </w:rPr>
        <w:t xml:space="preserve">, so that the OTDOA information exchange can take place with the existing </w:t>
      </w:r>
      <w:proofErr w:type="spellStart"/>
      <w:r w:rsidR="00405192">
        <w:rPr>
          <w:lang w:val="en-GB" w:eastAsia="en-US"/>
        </w:rPr>
        <w:t>NRPPa</w:t>
      </w:r>
      <w:proofErr w:type="spellEnd"/>
      <w:r w:rsidR="00405192">
        <w:rPr>
          <w:lang w:val="en-GB" w:eastAsia="en-US"/>
        </w:rPr>
        <w:t xml:space="preserve"> </w:t>
      </w:r>
      <w:r>
        <w:rPr>
          <w:lang w:val="en-GB" w:eastAsia="en-US"/>
        </w:rPr>
        <w:t>protocol (</w:t>
      </w:r>
      <w:r>
        <w:rPr>
          <w:lang w:val="en-GB" w:eastAsia="en-US"/>
        </w:rPr>
        <w:fldChar w:fldCharType="begin"/>
      </w:r>
      <w:r>
        <w:rPr>
          <w:lang w:val="en-GB" w:eastAsia="en-US"/>
        </w:rPr>
        <w:instrText xml:space="preserve"> REF _Ref532248480 \h </w:instrText>
      </w:r>
      <w:r>
        <w:rPr>
          <w:lang w:val="en-GB" w:eastAsia="en-US"/>
        </w:rPr>
      </w:r>
      <w:r>
        <w:rPr>
          <w:lang w:val="en-GB" w:eastAsia="en-US"/>
        </w:rPr>
        <w:fldChar w:fldCharType="separate"/>
      </w:r>
      <w:r w:rsidR="00284A4D">
        <w:t xml:space="preserve">Figure </w:t>
      </w:r>
      <w:r w:rsidR="00284A4D">
        <w:rPr>
          <w:noProof/>
        </w:rPr>
        <w:t>1</w:t>
      </w:r>
      <w:r>
        <w:rPr>
          <w:lang w:val="en-GB" w:eastAsia="en-US"/>
        </w:rPr>
        <w:fldChar w:fldCharType="end"/>
      </w:r>
      <w:r>
        <w:rPr>
          <w:lang w:val="en-GB" w:eastAsia="en-US"/>
        </w:rPr>
        <w:t>).</w:t>
      </w:r>
    </w:p>
    <w:p w14:paraId="3250C54D" w14:textId="77777777" w:rsidR="00A011C9" w:rsidRDefault="00733E0D" w:rsidP="00A011C9">
      <w:pPr>
        <w:keepNext/>
        <w:spacing w:after="240"/>
        <w:jc w:val="center"/>
      </w:pPr>
      <w:r>
        <w:object w:dxaOrig="10155" w:dyaOrig="2595" w14:anchorId="0FA51B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5pt;height:110.25pt" o:ole="">
            <v:imagedata r:id="rId8" o:title=""/>
          </v:shape>
          <o:OLEObject Type="Embed" ProgID="Visio.Drawing.11" ShapeID="_x0000_i1025" DrawAspect="Content" ObjectID="_1611662217" r:id="rId9"/>
        </w:object>
      </w:r>
    </w:p>
    <w:p w14:paraId="456E3CB3" w14:textId="45A6A8C1" w:rsidR="00A011C9" w:rsidRDefault="00A011C9" w:rsidP="00A011C9">
      <w:pPr>
        <w:pStyle w:val="Caption"/>
        <w:jc w:val="center"/>
      </w:pPr>
      <w:bookmarkStart w:id="9" w:name="_Ref532248480"/>
      <w:r>
        <w:t xml:space="preserve">Figure </w:t>
      </w:r>
      <w:r>
        <w:fldChar w:fldCharType="begin"/>
      </w:r>
      <w:r>
        <w:instrText xml:space="preserve"> SEQ Figure \* ARABIC </w:instrText>
      </w:r>
      <w:r>
        <w:fldChar w:fldCharType="separate"/>
      </w:r>
      <w:r w:rsidR="00284A4D">
        <w:rPr>
          <w:noProof/>
        </w:rPr>
        <w:t>1</w:t>
      </w:r>
      <w:r>
        <w:fldChar w:fldCharType="end"/>
      </w:r>
      <w:bookmarkEnd w:id="9"/>
      <w:r>
        <w:t xml:space="preserve">: Assistance data delivery obtained from neighbouring </w:t>
      </w:r>
      <w:proofErr w:type="spellStart"/>
      <w:r>
        <w:t>gNB</w:t>
      </w:r>
      <w:proofErr w:type="spellEnd"/>
    </w:p>
    <w:p w14:paraId="70146C93" w14:textId="695B38DD" w:rsidR="009B7160" w:rsidRDefault="00A011C9" w:rsidP="00A011C9">
      <w:pPr>
        <w:spacing w:after="240"/>
        <w:rPr>
          <w:lang w:val="en-GB" w:eastAsia="en-US"/>
        </w:rPr>
      </w:pPr>
      <w:r>
        <w:rPr>
          <w:lang w:val="en-GB" w:eastAsia="en-US"/>
        </w:rPr>
        <w:t xml:space="preserve">On the other hand, if assistance data are delivered from </w:t>
      </w:r>
      <w:r w:rsidR="0012439D">
        <w:rPr>
          <w:lang w:val="en-GB" w:eastAsia="en-US"/>
        </w:rPr>
        <w:t>a centralised</w:t>
      </w:r>
      <w:r>
        <w:rPr>
          <w:lang w:val="en-GB" w:eastAsia="en-US"/>
        </w:rPr>
        <w:t xml:space="preserve"> LMF to the </w:t>
      </w:r>
      <w:proofErr w:type="spellStart"/>
      <w:r>
        <w:rPr>
          <w:lang w:val="en-GB" w:eastAsia="en-US"/>
        </w:rPr>
        <w:t>gNB’s</w:t>
      </w:r>
      <w:proofErr w:type="spellEnd"/>
      <w:r>
        <w:rPr>
          <w:lang w:val="en-GB" w:eastAsia="en-US"/>
        </w:rPr>
        <w:t xml:space="preserve"> local server function, </w:t>
      </w:r>
      <w:proofErr w:type="spellStart"/>
      <w:r>
        <w:rPr>
          <w:lang w:val="en-GB" w:eastAsia="en-US"/>
        </w:rPr>
        <w:t>NRPPa</w:t>
      </w:r>
      <w:proofErr w:type="spellEnd"/>
      <w:r>
        <w:rPr>
          <w:lang w:val="en-GB" w:eastAsia="en-US"/>
        </w:rPr>
        <w:t xml:space="preserve"> would need to be enhanced to include assistance data delivery</w:t>
      </w:r>
      <w:r w:rsidR="009B7160">
        <w:rPr>
          <w:lang w:val="en-GB" w:eastAsia="en-US"/>
        </w:rPr>
        <w:t xml:space="preserve"> (as a non-UE-associated procedure).</w:t>
      </w:r>
    </w:p>
    <w:p w14:paraId="26DA4566" w14:textId="41C4D560" w:rsidR="009B7160" w:rsidRDefault="009B7160" w:rsidP="00A011C9">
      <w:pPr>
        <w:spacing w:after="240"/>
        <w:rPr>
          <w:lang w:val="en-GB" w:eastAsia="en-US"/>
        </w:rPr>
      </w:pPr>
      <w:r>
        <w:rPr>
          <w:lang w:val="en-GB" w:eastAsia="en-US"/>
        </w:rPr>
        <w:lastRenderedPageBreak/>
        <w:t>Another alternative as suggested by some comments in [2] would be to define a new “</w:t>
      </w:r>
      <w:proofErr w:type="spellStart"/>
      <w:r>
        <w:rPr>
          <w:lang w:val="en-GB" w:eastAsia="en-US"/>
        </w:rPr>
        <w:t>NRPPb</w:t>
      </w:r>
      <w:proofErr w:type="spellEnd"/>
      <w:r>
        <w:rPr>
          <w:lang w:val="en-GB" w:eastAsia="en-US"/>
        </w:rPr>
        <w:t xml:space="preserve">” protocol specifically for use over </w:t>
      </w:r>
      <w:proofErr w:type="spellStart"/>
      <w:r>
        <w:rPr>
          <w:lang w:val="en-GB" w:eastAsia="en-US"/>
        </w:rPr>
        <w:t>Xn</w:t>
      </w:r>
      <w:proofErr w:type="spellEnd"/>
      <w:r>
        <w:rPr>
          <w:lang w:val="en-GB" w:eastAsia="en-US"/>
        </w:rPr>
        <w:t>; we do not see a major advantage of defining a new protocol but this could be discussed by RAN3 in the normative phase.</w:t>
      </w:r>
    </w:p>
    <w:p w14:paraId="6A1B3963" w14:textId="3D83233D" w:rsidR="00A011C9" w:rsidRDefault="00A011C9" w:rsidP="00A011C9">
      <w:pPr>
        <w:spacing w:after="240"/>
        <w:rPr>
          <w:lang w:val="en-GB" w:eastAsia="en-US"/>
        </w:rPr>
      </w:pPr>
      <w:r>
        <w:rPr>
          <w:b/>
          <w:lang w:val="en-GB" w:eastAsia="en-US"/>
        </w:rPr>
        <w:t xml:space="preserve">Proposal </w:t>
      </w:r>
      <w:r w:rsidR="00405192">
        <w:rPr>
          <w:b/>
          <w:lang w:val="en-GB" w:eastAsia="en-US"/>
        </w:rPr>
        <w:t>5</w:t>
      </w:r>
      <w:r>
        <w:rPr>
          <w:b/>
          <w:lang w:val="en-GB" w:eastAsia="en-US"/>
        </w:rPr>
        <w:t>:</w:t>
      </w:r>
      <w:r>
        <w:rPr>
          <w:lang w:val="en-GB" w:eastAsia="en-US"/>
        </w:rPr>
        <w:t xml:space="preserve"> From RAN2 perspective, delivery of assistance data to the local server </w:t>
      </w:r>
      <w:r w:rsidR="00D25300">
        <w:rPr>
          <w:lang w:val="en-GB" w:eastAsia="en-US"/>
        </w:rPr>
        <w:t>appears</w:t>
      </w:r>
      <w:r>
        <w:rPr>
          <w:lang w:val="en-GB" w:eastAsia="en-US"/>
        </w:rPr>
        <w:t xml:space="preserve"> feasible</w:t>
      </w:r>
      <w:r w:rsidR="009B7160">
        <w:rPr>
          <w:lang w:val="en-GB" w:eastAsia="en-US"/>
        </w:rPr>
        <w:t xml:space="preserve"> </w:t>
      </w:r>
      <w:r w:rsidR="007F6B17">
        <w:rPr>
          <w:lang w:val="en-GB" w:eastAsia="en-US"/>
        </w:rPr>
        <w:t xml:space="preserve">from neighbouring </w:t>
      </w:r>
      <w:proofErr w:type="spellStart"/>
      <w:r w:rsidR="007F6B17">
        <w:rPr>
          <w:lang w:val="en-GB" w:eastAsia="en-US"/>
        </w:rPr>
        <w:t>gNBs</w:t>
      </w:r>
      <w:proofErr w:type="spellEnd"/>
      <w:r w:rsidR="007F6B17">
        <w:rPr>
          <w:lang w:val="en-GB" w:eastAsia="en-US"/>
        </w:rPr>
        <w:t xml:space="preserve"> via </w:t>
      </w:r>
      <w:proofErr w:type="spellStart"/>
      <w:r w:rsidR="007F6B17">
        <w:rPr>
          <w:lang w:val="en-GB" w:eastAsia="en-US"/>
        </w:rPr>
        <w:t>NRPPa</w:t>
      </w:r>
      <w:proofErr w:type="spellEnd"/>
      <w:r w:rsidR="007F6B17">
        <w:rPr>
          <w:lang w:val="en-GB" w:eastAsia="en-US"/>
        </w:rPr>
        <w:t xml:space="preserve"> over </w:t>
      </w:r>
      <w:proofErr w:type="spellStart"/>
      <w:r w:rsidR="007F6B17">
        <w:rPr>
          <w:lang w:val="en-GB" w:eastAsia="en-US"/>
        </w:rPr>
        <w:t>Xn</w:t>
      </w:r>
      <w:proofErr w:type="spellEnd"/>
      <w:r w:rsidR="007F6B17">
        <w:rPr>
          <w:lang w:val="en-GB" w:eastAsia="en-US"/>
        </w:rPr>
        <w:t xml:space="preserve">, </w:t>
      </w:r>
      <w:r w:rsidR="009B7160">
        <w:rPr>
          <w:lang w:val="en-GB" w:eastAsia="en-US"/>
        </w:rPr>
        <w:t>via a new “</w:t>
      </w:r>
      <w:proofErr w:type="spellStart"/>
      <w:r w:rsidR="009B7160">
        <w:rPr>
          <w:lang w:val="en-GB" w:eastAsia="en-US"/>
        </w:rPr>
        <w:t>NRPPb</w:t>
      </w:r>
      <w:proofErr w:type="spellEnd"/>
      <w:r w:rsidR="009B7160">
        <w:rPr>
          <w:lang w:val="en-GB" w:eastAsia="en-US"/>
        </w:rPr>
        <w:t xml:space="preserve">” protocol, </w:t>
      </w:r>
      <w:r w:rsidR="007F6B17">
        <w:rPr>
          <w:lang w:val="en-GB" w:eastAsia="en-US"/>
        </w:rPr>
        <w:t xml:space="preserve">or from the </w:t>
      </w:r>
      <w:r w:rsidR="0012439D">
        <w:rPr>
          <w:lang w:val="en-GB" w:eastAsia="en-US"/>
        </w:rPr>
        <w:t xml:space="preserve">centralised </w:t>
      </w:r>
      <w:r w:rsidR="007F6B17">
        <w:rPr>
          <w:lang w:val="en-GB" w:eastAsia="en-US"/>
        </w:rPr>
        <w:t xml:space="preserve">LMF via </w:t>
      </w:r>
      <w:r w:rsidR="009B7160">
        <w:rPr>
          <w:lang w:val="en-GB" w:eastAsia="en-US"/>
        </w:rPr>
        <w:t xml:space="preserve">enhancements to </w:t>
      </w:r>
      <w:proofErr w:type="spellStart"/>
      <w:r w:rsidR="007F6B17">
        <w:rPr>
          <w:lang w:val="en-GB" w:eastAsia="en-US"/>
        </w:rPr>
        <w:t>NRPPa</w:t>
      </w:r>
      <w:proofErr w:type="spellEnd"/>
      <w:r>
        <w:rPr>
          <w:lang w:val="en-GB" w:eastAsia="en-US"/>
        </w:rPr>
        <w:t xml:space="preserve">.  RAN3 would need to confirm </w:t>
      </w:r>
      <w:r w:rsidR="009B7160">
        <w:rPr>
          <w:lang w:val="en-GB" w:eastAsia="en-US"/>
        </w:rPr>
        <w:t xml:space="preserve">this and take a decision on the approach </w:t>
      </w:r>
      <w:r>
        <w:rPr>
          <w:lang w:val="en-GB" w:eastAsia="en-US"/>
        </w:rPr>
        <w:t>during normative work.</w:t>
      </w:r>
    </w:p>
    <w:p w14:paraId="016302AC" w14:textId="53C12474" w:rsidR="00A17DB7" w:rsidRPr="00B83A3D" w:rsidRDefault="001A1FCC" w:rsidP="00A17DB7">
      <w:pPr>
        <w:pStyle w:val="Heading1"/>
        <w:overflowPunct w:val="0"/>
        <w:autoSpaceDE w:val="0"/>
        <w:autoSpaceDN w:val="0"/>
        <w:adjustRightInd w:val="0"/>
        <w:rPr>
          <w:rFonts w:eastAsia="PMingLiU" w:cs="Arial"/>
        </w:rPr>
      </w:pPr>
      <w:r w:rsidRPr="00B83A3D">
        <w:rPr>
          <w:rFonts w:eastAsia="PMingLiU" w:cs="Arial"/>
        </w:rPr>
        <w:t>Conc</w:t>
      </w:r>
      <w:r w:rsidR="00A17DB7" w:rsidRPr="00B83A3D">
        <w:rPr>
          <w:rFonts w:eastAsia="PMingLiU" w:cs="Arial"/>
        </w:rPr>
        <w:t>l</w:t>
      </w:r>
      <w:r w:rsidRPr="00B83A3D">
        <w:rPr>
          <w:rFonts w:eastAsia="PMingLiU" w:cs="Arial"/>
        </w:rPr>
        <w:t>usion</w:t>
      </w:r>
      <w:bookmarkEnd w:id="5"/>
      <w:bookmarkEnd w:id="6"/>
      <w:bookmarkEnd w:id="7"/>
      <w:bookmarkEnd w:id="8"/>
    </w:p>
    <w:bookmarkEnd w:id="0"/>
    <w:bookmarkEnd w:id="1"/>
    <w:p w14:paraId="3F412314" w14:textId="77777777" w:rsidR="00505F8C" w:rsidRPr="009A4C0B" w:rsidRDefault="00505F8C" w:rsidP="00505F8C">
      <w:pPr>
        <w:spacing w:after="240"/>
        <w:rPr>
          <w:lang w:val="en-GB"/>
        </w:rPr>
      </w:pPr>
      <w:r>
        <w:rPr>
          <w:b/>
          <w:lang w:val="en-GB"/>
        </w:rPr>
        <w:t>Proposal 1:</w:t>
      </w:r>
      <w:r>
        <w:rPr>
          <w:lang w:val="en-GB"/>
        </w:rPr>
        <w:t xml:space="preserve"> From RAN2 perspective, it is beneficial to allow positioning functionality at the </w:t>
      </w:r>
      <w:proofErr w:type="spellStart"/>
      <w:r>
        <w:rPr>
          <w:lang w:val="en-GB"/>
        </w:rPr>
        <w:t>gNB</w:t>
      </w:r>
      <w:proofErr w:type="spellEnd"/>
      <w:r>
        <w:rPr>
          <w:lang w:val="en-GB"/>
        </w:rPr>
        <w:t>.</w:t>
      </w:r>
    </w:p>
    <w:p w14:paraId="40EB8DB6" w14:textId="77777777" w:rsidR="00505F8C" w:rsidRPr="009A4C0B" w:rsidRDefault="00505F8C" w:rsidP="00505F8C">
      <w:pPr>
        <w:spacing w:after="240"/>
        <w:rPr>
          <w:lang w:val="en-GB"/>
        </w:rPr>
      </w:pPr>
      <w:r>
        <w:rPr>
          <w:b/>
          <w:lang w:val="en-GB"/>
        </w:rPr>
        <w:t>Proposal 2:</w:t>
      </w:r>
      <w:r>
        <w:rPr>
          <w:lang w:val="en-GB"/>
        </w:rPr>
        <w:t xml:space="preserve"> If the </w:t>
      </w:r>
      <w:proofErr w:type="spellStart"/>
      <w:r>
        <w:rPr>
          <w:lang w:val="en-GB"/>
        </w:rPr>
        <w:t>gNB</w:t>
      </w:r>
      <w:proofErr w:type="spellEnd"/>
      <w:r>
        <w:rPr>
          <w:lang w:val="en-GB"/>
        </w:rPr>
        <w:t xml:space="preserve"> supports location management functionality, it should support the full suite of LPP procedures.</w:t>
      </w:r>
    </w:p>
    <w:p w14:paraId="27A848A0" w14:textId="77777777" w:rsidR="00505F8C" w:rsidRPr="00E11B57" w:rsidRDefault="00505F8C" w:rsidP="00505F8C">
      <w:pPr>
        <w:spacing w:after="240"/>
        <w:rPr>
          <w:lang w:val="en-GB"/>
        </w:rPr>
      </w:pPr>
      <w:r>
        <w:rPr>
          <w:b/>
          <w:lang w:val="en-GB"/>
        </w:rPr>
        <w:t>Proposal 3:</w:t>
      </w:r>
      <w:r>
        <w:rPr>
          <w:lang w:val="en-GB"/>
        </w:rPr>
        <w:t xml:space="preserve"> Transport of LPP messages between the </w:t>
      </w:r>
      <w:proofErr w:type="spellStart"/>
      <w:r>
        <w:rPr>
          <w:lang w:val="en-GB"/>
        </w:rPr>
        <w:t>gNB</w:t>
      </w:r>
      <w:proofErr w:type="spellEnd"/>
      <w:r>
        <w:rPr>
          <w:lang w:val="en-GB"/>
        </w:rPr>
        <w:t xml:space="preserve"> and the UE can be supported by the </w:t>
      </w:r>
      <w:proofErr w:type="spellStart"/>
      <w:r>
        <w:rPr>
          <w:lang w:val="en-GB"/>
        </w:rPr>
        <w:t>DLInformationTransfer</w:t>
      </w:r>
      <w:proofErr w:type="spellEnd"/>
      <w:r>
        <w:rPr>
          <w:lang w:val="en-GB"/>
        </w:rPr>
        <w:t xml:space="preserve"> and </w:t>
      </w:r>
      <w:proofErr w:type="spellStart"/>
      <w:r>
        <w:rPr>
          <w:lang w:val="en-GB"/>
        </w:rPr>
        <w:t>ULInformationTransfer</w:t>
      </w:r>
      <w:proofErr w:type="spellEnd"/>
      <w:r>
        <w:rPr>
          <w:lang w:val="en-GB"/>
        </w:rPr>
        <w:t xml:space="preserve"> messages or by a new pair of RRC messages.  A decision on which messages are used can be taken in the normative phase.</w:t>
      </w:r>
    </w:p>
    <w:p w14:paraId="7DF6DCDE" w14:textId="77777777" w:rsidR="00505F8C" w:rsidRPr="002B0584" w:rsidRDefault="00505F8C" w:rsidP="00505F8C">
      <w:pPr>
        <w:spacing w:after="240"/>
        <w:rPr>
          <w:lang w:val="en-GB"/>
        </w:rPr>
      </w:pPr>
      <w:r>
        <w:rPr>
          <w:b/>
          <w:lang w:val="en-GB"/>
        </w:rPr>
        <w:t>Proposal 4:</w:t>
      </w:r>
      <w:r>
        <w:rPr>
          <w:lang w:val="en-GB"/>
        </w:rPr>
        <w:t xml:space="preserve"> Consider whether any steps should be taken in Rel-16 to ensure compatibility of the positioning server in RAN with the MO-LR functionality.</w:t>
      </w:r>
    </w:p>
    <w:p w14:paraId="02841A14" w14:textId="77777777" w:rsidR="00505F8C" w:rsidRDefault="00505F8C" w:rsidP="00505F8C">
      <w:pPr>
        <w:spacing w:after="240"/>
        <w:rPr>
          <w:lang w:val="en-GB" w:eastAsia="en-US"/>
        </w:rPr>
      </w:pPr>
      <w:r>
        <w:rPr>
          <w:b/>
          <w:lang w:val="en-GB" w:eastAsia="en-US"/>
        </w:rPr>
        <w:t>Proposal 5:</w:t>
      </w:r>
      <w:r>
        <w:rPr>
          <w:lang w:val="en-GB" w:eastAsia="en-US"/>
        </w:rPr>
        <w:t xml:space="preserve"> From RAN2 perspective, delivery of assistance data to the local server appears feasible from neighbouring </w:t>
      </w:r>
      <w:proofErr w:type="spellStart"/>
      <w:r>
        <w:rPr>
          <w:lang w:val="en-GB" w:eastAsia="en-US"/>
        </w:rPr>
        <w:t>gNBs</w:t>
      </w:r>
      <w:proofErr w:type="spellEnd"/>
      <w:r>
        <w:rPr>
          <w:lang w:val="en-GB" w:eastAsia="en-US"/>
        </w:rPr>
        <w:t xml:space="preserve"> via </w:t>
      </w:r>
      <w:proofErr w:type="spellStart"/>
      <w:r>
        <w:rPr>
          <w:lang w:val="en-GB" w:eastAsia="en-US"/>
        </w:rPr>
        <w:t>NRPPa</w:t>
      </w:r>
      <w:proofErr w:type="spellEnd"/>
      <w:r>
        <w:rPr>
          <w:lang w:val="en-GB" w:eastAsia="en-US"/>
        </w:rPr>
        <w:t xml:space="preserve"> over </w:t>
      </w:r>
      <w:proofErr w:type="spellStart"/>
      <w:r>
        <w:rPr>
          <w:lang w:val="en-GB" w:eastAsia="en-US"/>
        </w:rPr>
        <w:t>Xn</w:t>
      </w:r>
      <w:proofErr w:type="spellEnd"/>
      <w:r>
        <w:rPr>
          <w:lang w:val="en-GB" w:eastAsia="en-US"/>
        </w:rPr>
        <w:t>, via a new “</w:t>
      </w:r>
      <w:proofErr w:type="spellStart"/>
      <w:r>
        <w:rPr>
          <w:lang w:val="en-GB" w:eastAsia="en-US"/>
        </w:rPr>
        <w:t>NRPPb</w:t>
      </w:r>
      <w:proofErr w:type="spellEnd"/>
      <w:r>
        <w:rPr>
          <w:lang w:val="en-GB" w:eastAsia="en-US"/>
        </w:rPr>
        <w:t xml:space="preserve">” protocol, or from the centralised LMF via enhancements to </w:t>
      </w:r>
      <w:proofErr w:type="spellStart"/>
      <w:r>
        <w:rPr>
          <w:lang w:val="en-GB" w:eastAsia="en-US"/>
        </w:rPr>
        <w:t>NRPPa</w:t>
      </w:r>
      <w:proofErr w:type="spellEnd"/>
      <w:r>
        <w:rPr>
          <w:lang w:val="en-GB" w:eastAsia="en-US"/>
        </w:rPr>
        <w:t>.  RAN3 would need to confirm this and take a decision on the approach during normative work.</w:t>
      </w:r>
    </w:p>
    <w:p w14:paraId="1CD51B74" w14:textId="71304200" w:rsidR="00A07E02" w:rsidRPr="00B83A3D" w:rsidRDefault="007E37A2" w:rsidP="00A07E02">
      <w:pPr>
        <w:pStyle w:val="Heading1"/>
        <w:overflowPunct w:val="0"/>
        <w:autoSpaceDE w:val="0"/>
        <w:autoSpaceDN w:val="0"/>
        <w:adjustRightInd w:val="0"/>
        <w:rPr>
          <w:rFonts w:eastAsia="PMingLiU" w:cs="Arial"/>
        </w:rPr>
      </w:pPr>
      <w:r w:rsidRPr="00B83A3D">
        <w:rPr>
          <w:rFonts w:eastAsia="PMingLiU" w:cs="Arial"/>
          <w:lang w:eastAsia="zh-TW"/>
        </w:rPr>
        <w:t>R</w:t>
      </w:r>
      <w:r w:rsidR="00A07E02" w:rsidRPr="00B83A3D">
        <w:rPr>
          <w:rFonts w:eastAsia="PMingLiU" w:cs="Arial"/>
        </w:rPr>
        <w:t>eference</w:t>
      </w:r>
      <w:r w:rsidR="00674996" w:rsidRPr="00B83A3D">
        <w:rPr>
          <w:rFonts w:eastAsia="PMingLiU" w:cs="Arial"/>
        </w:rPr>
        <w:t>s</w:t>
      </w:r>
    </w:p>
    <w:p w14:paraId="6E56F923" w14:textId="74279151" w:rsidR="00E360C2" w:rsidRDefault="003A5C93" w:rsidP="003A5C93">
      <w:pPr>
        <w:numPr>
          <w:ilvl w:val="0"/>
          <w:numId w:val="10"/>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TR 23.731, “</w:t>
      </w:r>
      <w:r w:rsidRPr="003A5C93">
        <w:rPr>
          <w:rFonts w:ascii="Arial" w:hAnsi="Arial" w:cs="Arial"/>
          <w:sz w:val="20"/>
          <w:szCs w:val="20"/>
          <w:lang w:val="en-GB"/>
        </w:rPr>
        <w:t xml:space="preserve">Study on Enhancement to the 5GC </w:t>
      </w:r>
      <w:proofErr w:type="spellStart"/>
      <w:r w:rsidRPr="003A5C93">
        <w:rPr>
          <w:rFonts w:ascii="Arial" w:hAnsi="Arial" w:cs="Arial"/>
          <w:sz w:val="20"/>
          <w:szCs w:val="20"/>
          <w:lang w:val="en-GB"/>
        </w:rPr>
        <w:t>LoCation</w:t>
      </w:r>
      <w:proofErr w:type="spellEnd"/>
      <w:r w:rsidRPr="003A5C93">
        <w:rPr>
          <w:rFonts w:ascii="Arial" w:hAnsi="Arial" w:cs="Arial"/>
          <w:sz w:val="20"/>
          <w:szCs w:val="20"/>
          <w:lang w:val="en-GB"/>
        </w:rPr>
        <w:t xml:space="preserve"> Services</w:t>
      </w:r>
      <w:r>
        <w:rPr>
          <w:rFonts w:ascii="Arial" w:hAnsi="Arial" w:cs="Arial"/>
          <w:sz w:val="20"/>
          <w:szCs w:val="20"/>
          <w:lang w:val="en-GB"/>
        </w:rPr>
        <w:t>”</w:t>
      </w:r>
    </w:p>
    <w:p w14:paraId="6BA8684A" w14:textId="7DE6EEFF" w:rsidR="009B7160" w:rsidRPr="00B83A3D" w:rsidRDefault="00505F8C" w:rsidP="009B7160">
      <w:pPr>
        <w:numPr>
          <w:ilvl w:val="0"/>
          <w:numId w:val="10"/>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R2-1900753</w:t>
      </w:r>
      <w:r w:rsidR="009B7160">
        <w:rPr>
          <w:rFonts w:ascii="Arial" w:hAnsi="Arial" w:cs="Arial"/>
          <w:sz w:val="20"/>
          <w:szCs w:val="20"/>
          <w:lang w:val="en-GB"/>
        </w:rPr>
        <w:t>, “</w:t>
      </w:r>
      <w:r>
        <w:rPr>
          <w:rFonts w:ascii="Arial" w:hAnsi="Arial" w:cs="Arial"/>
          <w:sz w:val="20"/>
          <w:szCs w:val="20"/>
          <w:lang w:val="en-GB"/>
        </w:rPr>
        <w:t>R</w:t>
      </w:r>
      <w:bookmarkStart w:id="10" w:name="_GoBack"/>
      <w:bookmarkEnd w:id="10"/>
      <w:r w:rsidR="009B7160" w:rsidRPr="009B7160">
        <w:rPr>
          <w:rFonts w:ascii="Arial" w:hAnsi="Arial" w:cs="Arial"/>
          <w:sz w:val="20"/>
          <w:szCs w:val="20"/>
          <w:lang w:val="en-GB"/>
        </w:rPr>
        <w:t>eport on [104#35][NR] Positioning SI (Intel)</w:t>
      </w:r>
      <w:r w:rsidR="009B7160">
        <w:rPr>
          <w:rFonts w:ascii="Arial" w:hAnsi="Arial" w:cs="Arial"/>
          <w:sz w:val="20"/>
          <w:szCs w:val="20"/>
          <w:lang w:val="en-GB"/>
        </w:rPr>
        <w:t>”, Intel, RAN2#105</w:t>
      </w:r>
    </w:p>
    <w:sectPr w:rsidR="009B7160" w:rsidRPr="00B83A3D" w:rsidSect="00E70F1A">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657468" w14:textId="77777777" w:rsidR="00633B29" w:rsidRDefault="00633B29">
      <w:pPr>
        <w:pStyle w:val="TAL"/>
      </w:pPr>
      <w:r>
        <w:separator/>
      </w:r>
    </w:p>
  </w:endnote>
  <w:endnote w:type="continuationSeparator" w:id="0">
    <w:p w14:paraId="699B5F50" w14:textId="77777777" w:rsidR="00633B29" w:rsidRDefault="00633B29">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505F8C">
      <w:t>1</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E93D54" w14:textId="77777777" w:rsidR="00633B29" w:rsidRDefault="00633B29">
      <w:pPr>
        <w:pStyle w:val="TAL"/>
      </w:pPr>
      <w:r>
        <w:separator/>
      </w:r>
    </w:p>
  </w:footnote>
  <w:footnote w:type="continuationSeparator" w:id="0">
    <w:p w14:paraId="073EC871" w14:textId="77777777" w:rsidR="00633B29" w:rsidRDefault="00633B29">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F827BB"/>
    <w:multiLevelType w:val="hybridMultilevel"/>
    <w:tmpl w:val="6516807E"/>
    <w:lvl w:ilvl="0" w:tplc="E77AC09C">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6AA0B13"/>
    <w:multiLevelType w:val="hybridMultilevel"/>
    <w:tmpl w:val="21BA4A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1"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2"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5"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9"/>
  </w:num>
  <w:num w:numId="3">
    <w:abstractNumId w:val="14"/>
  </w:num>
  <w:num w:numId="4">
    <w:abstractNumId w:val="11"/>
  </w:num>
  <w:num w:numId="5">
    <w:abstractNumId w:val="5"/>
  </w:num>
  <w:num w:numId="6">
    <w:abstractNumId w:val="4"/>
  </w:num>
  <w:num w:numId="7">
    <w:abstractNumId w:val="18"/>
  </w:num>
  <w:num w:numId="8">
    <w:abstractNumId w:val="17"/>
  </w:num>
  <w:num w:numId="9">
    <w:abstractNumId w:val="0"/>
  </w:num>
  <w:num w:numId="10">
    <w:abstractNumId w:val="3"/>
  </w:num>
  <w:num w:numId="11">
    <w:abstractNumId w:val="13"/>
  </w:num>
  <w:num w:numId="12">
    <w:abstractNumId w:val="16"/>
  </w:num>
  <w:num w:numId="13">
    <w:abstractNumId w:val="15"/>
  </w:num>
  <w:num w:numId="14">
    <w:abstractNumId w:val="2"/>
  </w:num>
  <w:num w:numId="15">
    <w:abstractNumId w:val="12"/>
  </w:num>
  <w:num w:numId="16">
    <w:abstractNumId w:val="7"/>
  </w:num>
  <w:num w:numId="17">
    <w:abstractNumId w:val="1"/>
  </w:num>
  <w:num w:numId="18">
    <w:abstractNumId w:val="9"/>
  </w:num>
  <w:num w:numId="19">
    <w:abstractNumId w:val="8"/>
  </w:num>
  <w:num w:numId="2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33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F6"/>
    <w:rsid w:val="000C01C4"/>
    <w:rsid w:val="000C1A87"/>
    <w:rsid w:val="000C216C"/>
    <w:rsid w:val="000C2A48"/>
    <w:rsid w:val="000C2ACB"/>
    <w:rsid w:val="000C2DD7"/>
    <w:rsid w:val="000C3818"/>
    <w:rsid w:val="000C3A74"/>
    <w:rsid w:val="000C3B9D"/>
    <w:rsid w:val="000C4888"/>
    <w:rsid w:val="000C4F44"/>
    <w:rsid w:val="000C5119"/>
    <w:rsid w:val="000C6338"/>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1F5C"/>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39D"/>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1EA"/>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2F28"/>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4A4D"/>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2E0F"/>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584"/>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125"/>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286"/>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C93"/>
    <w:rsid w:val="003A5E90"/>
    <w:rsid w:val="003A611A"/>
    <w:rsid w:val="003A6719"/>
    <w:rsid w:val="003A6C5D"/>
    <w:rsid w:val="003B024D"/>
    <w:rsid w:val="003B04B8"/>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192"/>
    <w:rsid w:val="0040564C"/>
    <w:rsid w:val="00405CA5"/>
    <w:rsid w:val="00405E7D"/>
    <w:rsid w:val="0040665D"/>
    <w:rsid w:val="00406742"/>
    <w:rsid w:val="00406859"/>
    <w:rsid w:val="00406AA1"/>
    <w:rsid w:val="00411153"/>
    <w:rsid w:val="004118E1"/>
    <w:rsid w:val="004122A9"/>
    <w:rsid w:val="0041233C"/>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293"/>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5F8C"/>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257"/>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1F1E"/>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B13"/>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683"/>
    <w:rsid w:val="00627D9A"/>
    <w:rsid w:val="00630138"/>
    <w:rsid w:val="00630DB7"/>
    <w:rsid w:val="006315CA"/>
    <w:rsid w:val="0063169B"/>
    <w:rsid w:val="00633653"/>
    <w:rsid w:val="00633745"/>
    <w:rsid w:val="00633B29"/>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36"/>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061"/>
    <w:rsid w:val="006A3712"/>
    <w:rsid w:val="006A373B"/>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59F"/>
    <w:rsid w:val="00717FAD"/>
    <w:rsid w:val="007200CD"/>
    <w:rsid w:val="0072042E"/>
    <w:rsid w:val="0072120F"/>
    <w:rsid w:val="0072131B"/>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54A"/>
    <w:rsid w:val="00733293"/>
    <w:rsid w:val="00733E0D"/>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6B17"/>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1F0F"/>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069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605"/>
    <w:rsid w:val="009A4A9A"/>
    <w:rsid w:val="009A4C0B"/>
    <w:rsid w:val="009A4EF0"/>
    <w:rsid w:val="009A5623"/>
    <w:rsid w:val="009A5921"/>
    <w:rsid w:val="009A5C41"/>
    <w:rsid w:val="009A5C7E"/>
    <w:rsid w:val="009A73DA"/>
    <w:rsid w:val="009A76DE"/>
    <w:rsid w:val="009A7891"/>
    <w:rsid w:val="009B032E"/>
    <w:rsid w:val="009B0CE2"/>
    <w:rsid w:val="009B0F3B"/>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16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1C9"/>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3B39"/>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2D2"/>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A3D"/>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931"/>
    <w:rsid w:val="00C847BF"/>
    <w:rsid w:val="00C847D5"/>
    <w:rsid w:val="00C853DC"/>
    <w:rsid w:val="00C86129"/>
    <w:rsid w:val="00C862C6"/>
    <w:rsid w:val="00C868E1"/>
    <w:rsid w:val="00C86C38"/>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65E6"/>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300"/>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535C"/>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E7F32"/>
    <w:rsid w:val="00DF0E7D"/>
    <w:rsid w:val="00DF10AF"/>
    <w:rsid w:val="00DF119D"/>
    <w:rsid w:val="00DF15EC"/>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B57"/>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0C2"/>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5A95"/>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B04B8"/>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B04B8"/>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867F80-D227-41A2-91A9-652ECAE7B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1147</Words>
  <Characters>6540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Nathan Tenny</cp:lastModifiedBy>
  <cp:revision>2</cp:revision>
  <cp:lastPrinted>2007-12-21T04:58:00Z</cp:lastPrinted>
  <dcterms:created xsi:type="dcterms:W3CDTF">2019-02-14T23:10:00Z</dcterms:created>
  <dcterms:modified xsi:type="dcterms:W3CDTF">2019-02-14T23:10:00Z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