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7AD92FD7" w:rsidR="00895250" w:rsidRPr="00895250"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bookmarkStart w:id="2" w:name="_GoBack"/>
      <w:bookmarkEnd w:id="2"/>
      <w:r w:rsidRPr="00895250">
        <w:rPr>
          <w:rFonts w:ascii="Arial" w:eastAsia="MS Mincho" w:hAnsi="Arial"/>
          <w:b/>
          <w:sz w:val="24"/>
          <w:szCs w:val="24"/>
          <w:lang w:val="en-GB" w:eastAsia="x-none"/>
        </w:rPr>
        <w:t>3GPP TSG</w:t>
      </w:r>
      <w:r w:rsidR="00722AD2">
        <w:rPr>
          <w:rFonts w:ascii="Arial" w:eastAsia="MS Mincho" w:hAnsi="Arial"/>
          <w:b/>
          <w:sz w:val="24"/>
          <w:szCs w:val="24"/>
          <w:lang w:val="en-GB" w:eastAsia="x-none"/>
        </w:rPr>
        <w:t>-RAN WG2 Meeting #105</w:t>
      </w:r>
      <w:r w:rsidR="00722AD2">
        <w:rPr>
          <w:rFonts w:ascii="Arial" w:eastAsia="MS Mincho" w:hAnsi="Arial"/>
          <w:b/>
          <w:sz w:val="24"/>
          <w:szCs w:val="24"/>
          <w:lang w:val="en-GB" w:eastAsia="x-none"/>
        </w:rPr>
        <w:tab/>
        <w:t>R2-1900815</w:t>
      </w:r>
    </w:p>
    <w:p w14:paraId="6877EE3A" w14:textId="16C2E1AA" w:rsidR="00895250" w:rsidRPr="00895250" w:rsidRDefault="00430709"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Athens, Greece</w:t>
      </w:r>
      <w:r w:rsidR="00895250" w:rsidRPr="00895250">
        <w:rPr>
          <w:rFonts w:ascii="Arial" w:eastAsia="MS Mincho" w:hAnsi="Arial"/>
          <w:b/>
          <w:sz w:val="24"/>
          <w:szCs w:val="24"/>
          <w:lang w:val="en-GB" w:eastAsia="x-none"/>
        </w:rPr>
        <w:t xml:space="preserve">, </w:t>
      </w:r>
      <w:r>
        <w:rPr>
          <w:rFonts w:ascii="Arial" w:eastAsia="MS Mincho" w:hAnsi="Arial"/>
          <w:b/>
          <w:sz w:val="24"/>
          <w:szCs w:val="24"/>
          <w:lang w:val="en-GB" w:eastAsia="x-none"/>
        </w:rPr>
        <w:t>25 February-1 March 2019</w:t>
      </w:r>
      <w:r w:rsidR="001734B4">
        <w:rPr>
          <w:rFonts w:ascii="Arial" w:eastAsia="MS Mincho" w:hAnsi="Arial"/>
          <w:b/>
          <w:sz w:val="24"/>
          <w:szCs w:val="24"/>
          <w:lang w:val="en-GB" w:eastAsia="x-none"/>
        </w:rPr>
        <w:tab/>
      </w:r>
      <w:r>
        <w:rPr>
          <w:rFonts w:ascii="Arial" w:eastAsia="MS Mincho" w:hAnsi="Arial"/>
          <w:b/>
          <w:sz w:val="18"/>
          <w:szCs w:val="24"/>
          <w:lang w:val="en-GB" w:eastAsia="x-none"/>
        </w:rPr>
        <w:t>(</w:t>
      </w:r>
      <w:r w:rsidR="00E43F05">
        <w:rPr>
          <w:rFonts w:ascii="Arial" w:eastAsia="MS Mincho" w:hAnsi="Arial"/>
          <w:b/>
          <w:sz w:val="18"/>
          <w:szCs w:val="24"/>
          <w:lang w:val="en-GB" w:eastAsia="x-none"/>
        </w:rPr>
        <w:t>revision</w:t>
      </w:r>
      <w:r>
        <w:rPr>
          <w:rFonts w:ascii="Arial" w:eastAsia="MS Mincho" w:hAnsi="Arial"/>
          <w:b/>
          <w:sz w:val="18"/>
          <w:szCs w:val="24"/>
          <w:lang w:val="en-GB" w:eastAsia="x-none"/>
        </w:rPr>
        <w:t xml:space="preserve"> of R2-1816820</w:t>
      </w:r>
      <w:r w:rsidR="001734B4" w:rsidRPr="001734B4">
        <w:rPr>
          <w:rFonts w:ascii="Arial" w:eastAsia="MS Mincho" w:hAnsi="Arial"/>
          <w:b/>
          <w:sz w:val="18"/>
          <w:szCs w:val="24"/>
          <w:lang w:val="en-GB" w:eastAsia="x-none"/>
        </w:rPr>
        <w:t>)</w:t>
      </w:r>
    </w:p>
    <w:p w14:paraId="41F9B491" w14:textId="49EFE19E" w:rsidR="0097167E" w:rsidRPr="000E3C08"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0E3C08" w:rsidRDefault="00A07E02" w:rsidP="00A07E02">
      <w:pPr>
        <w:pStyle w:val="3GPPHeader"/>
        <w:rPr>
          <w:rFonts w:ascii="Arial" w:hAnsi="Arial" w:cs="Arial"/>
          <w:color w:val="FF0000"/>
          <w:szCs w:val="24"/>
          <w:lang w:eastAsia="zh-TW"/>
        </w:rPr>
      </w:pPr>
    </w:p>
    <w:p w14:paraId="027912C8" w14:textId="0D906D24" w:rsidR="00A07E02" w:rsidRPr="000E3C08" w:rsidRDefault="00A07E02" w:rsidP="00A07E02">
      <w:pPr>
        <w:pStyle w:val="3GPPHeader"/>
        <w:rPr>
          <w:rFonts w:ascii="Arial" w:hAnsi="Arial" w:cs="Arial"/>
          <w:szCs w:val="24"/>
        </w:rPr>
      </w:pPr>
      <w:r w:rsidRPr="000E3C08">
        <w:rPr>
          <w:rFonts w:ascii="Arial" w:hAnsi="Arial" w:cs="Arial"/>
          <w:szCs w:val="24"/>
        </w:rPr>
        <w:t>Agenda Item:</w:t>
      </w:r>
      <w:r w:rsidRPr="000E3C08">
        <w:rPr>
          <w:rFonts w:ascii="Arial" w:hAnsi="Arial" w:cs="Arial"/>
          <w:szCs w:val="24"/>
        </w:rPr>
        <w:tab/>
      </w:r>
      <w:r w:rsidR="00722AD2">
        <w:rPr>
          <w:rFonts w:ascii="Arial" w:hAnsi="Arial" w:cs="Arial"/>
          <w:szCs w:val="24"/>
        </w:rPr>
        <w:t>11.4.2.2</w:t>
      </w:r>
    </w:p>
    <w:p w14:paraId="79D236BA" w14:textId="77777777" w:rsidR="00A07E02" w:rsidRPr="000E3C08" w:rsidRDefault="00A07E02" w:rsidP="00A07E02">
      <w:pPr>
        <w:pStyle w:val="3GPPHeader"/>
        <w:rPr>
          <w:rFonts w:ascii="Arial" w:hAnsi="Arial" w:cs="Arial"/>
          <w:szCs w:val="24"/>
        </w:rPr>
      </w:pPr>
      <w:r w:rsidRPr="000E3C08">
        <w:rPr>
          <w:rFonts w:ascii="Arial" w:hAnsi="Arial" w:cs="Arial"/>
          <w:szCs w:val="24"/>
        </w:rPr>
        <w:t xml:space="preserve">Source: </w:t>
      </w:r>
      <w:r w:rsidRPr="000E3C08">
        <w:rPr>
          <w:rFonts w:ascii="Arial" w:hAnsi="Arial" w:cs="Arial"/>
          <w:szCs w:val="24"/>
        </w:rPr>
        <w:tab/>
      </w:r>
      <w:proofErr w:type="spellStart"/>
      <w:r w:rsidRPr="000E3C08">
        <w:rPr>
          <w:rFonts w:ascii="Arial" w:hAnsi="Arial" w:cs="Arial"/>
          <w:szCs w:val="24"/>
        </w:rPr>
        <w:t>MediaTek</w:t>
      </w:r>
      <w:proofErr w:type="spellEnd"/>
      <w:r w:rsidRPr="000E3C08">
        <w:rPr>
          <w:rFonts w:ascii="Arial" w:hAnsi="Arial" w:cs="Arial"/>
          <w:szCs w:val="24"/>
        </w:rPr>
        <w:t xml:space="preserve"> Inc.</w:t>
      </w:r>
    </w:p>
    <w:p w14:paraId="108A86FF" w14:textId="41D9E498" w:rsidR="00A07E02" w:rsidRPr="000E3C08" w:rsidRDefault="00FF0668" w:rsidP="00A07E02">
      <w:pPr>
        <w:pStyle w:val="3GPPHeaderArial"/>
        <w:tabs>
          <w:tab w:val="left" w:pos="1701"/>
        </w:tabs>
        <w:rPr>
          <w:b/>
          <w:sz w:val="24"/>
          <w:lang w:val="en-GB" w:eastAsia="zh-TW"/>
        </w:rPr>
      </w:pPr>
      <w:r w:rsidRPr="000E3C08">
        <w:rPr>
          <w:b/>
          <w:sz w:val="24"/>
          <w:lang w:val="en-GB"/>
        </w:rPr>
        <w:t xml:space="preserve">Title:  </w:t>
      </w:r>
      <w:r w:rsidRPr="000E3C08">
        <w:rPr>
          <w:b/>
          <w:sz w:val="24"/>
          <w:lang w:val="en-GB"/>
        </w:rPr>
        <w:tab/>
      </w:r>
      <w:r w:rsidR="000F596A">
        <w:rPr>
          <w:b/>
          <w:sz w:val="24"/>
          <w:lang w:val="en-GB"/>
        </w:rPr>
        <w:t>UE-assisted resource allocation for NR V2X</w:t>
      </w:r>
    </w:p>
    <w:p w14:paraId="2D698DC6" w14:textId="77777777" w:rsidR="00A07E02" w:rsidRPr="000E3C08" w:rsidRDefault="00A07E02" w:rsidP="00A07E02">
      <w:pPr>
        <w:pStyle w:val="3GPPHeaderArial"/>
        <w:tabs>
          <w:tab w:val="left" w:pos="1701"/>
        </w:tabs>
        <w:rPr>
          <w:b/>
          <w:sz w:val="24"/>
          <w:lang w:val="en-GB" w:eastAsia="zh-TW"/>
        </w:rPr>
      </w:pPr>
    </w:p>
    <w:p w14:paraId="4570B40E" w14:textId="77777777" w:rsidR="00A07E02" w:rsidRPr="000E3C08" w:rsidRDefault="00A07E02" w:rsidP="00A07E02">
      <w:pPr>
        <w:pStyle w:val="3GPPHeader"/>
        <w:rPr>
          <w:rFonts w:ascii="Arial" w:hAnsi="Arial" w:cs="Arial"/>
          <w:szCs w:val="24"/>
        </w:rPr>
      </w:pPr>
      <w:r w:rsidRPr="000E3C08">
        <w:rPr>
          <w:rFonts w:ascii="Arial" w:hAnsi="Arial" w:cs="Arial"/>
          <w:szCs w:val="24"/>
        </w:rPr>
        <w:t>Document for:</w:t>
      </w:r>
      <w:r w:rsidRPr="000E3C08">
        <w:rPr>
          <w:rFonts w:ascii="Arial" w:hAnsi="Arial" w:cs="Arial"/>
          <w:szCs w:val="24"/>
        </w:rPr>
        <w:tab/>
        <w:t>Discussion and decision</w:t>
      </w:r>
    </w:p>
    <w:p w14:paraId="0FB84FBC" w14:textId="77777777" w:rsidR="00A07E02" w:rsidRPr="000E3C08" w:rsidRDefault="00A07E02" w:rsidP="00A07E02">
      <w:pPr>
        <w:pStyle w:val="Heading1"/>
        <w:overflowPunct w:val="0"/>
        <w:autoSpaceDE w:val="0"/>
        <w:autoSpaceDN w:val="0"/>
        <w:adjustRightInd w:val="0"/>
        <w:rPr>
          <w:rFonts w:eastAsia="PMingLiU" w:cs="Arial"/>
        </w:rPr>
      </w:pPr>
      <w:r w:rsidRPr="000E3C08">
        <w:rPr>
          <w:rFonts w:eastAsia="PMingLiU" w:cs="Arial"/>
        </w:rPr>
        <w:t>Introduction</w:t>
      </w:r>
      <w:bookmarkStart w:id="3" w:name="OLE_LINK39"/>
      <w:bookmarkStart w:id="4" w:name="OLE_LINK38"/>
      <w:bookmarkStart w:id="5" w:name="OLE_LINK37"/>
    </w:p>
    <w:p w14:paraId="4DDCB0C0" w14:textId="77777777" w:rsidR="00C50067" w:rsidRDefault="000F596A" w:rsidP="00820C96">
      <w:pPr>
        <w:spacing w:after="120"/>
        <w:jc w:val="both"/>
        <w:rPr>
          <w:rFonts w:asciiTheme="minorHAnsi" w:hAnsiTheme="minorHAnsi" w:cs="Arial"/>
          <w:szCs w:val="20"/>
          <w:lang w:val="en-GB"/>
        </w:rPr>
      </w:pPr>
      <w:r w:rsidRPr="00F56E4E">
        <w:rPr>
          <w:rFonts w:asciiTheme="minorHAnsi" w:hAnsiTheme="minorHAnsi" w:cs="Arial"/>
          <w:szCs w:val="20"/>
          <w:lang w:val="en-GB"/>
        </w:rPr>
        <w:t xml:space="preserve">During discussion of the NR V2X SI, RAN1 have discussed the possibility of supporting </w:t>
      </w:r>
      <w:r w:rsidR="00BE23C6" w:rsidRPr="00F56E4E">
        <w:rPr>
          <w:rFonts w:asciiTheme="minorHAnsi" w:hAnsiTheme="minorHAnsi" w:cs="Arial"/>
          <w:szCs w:val="20"/>
          <w:lang w:val="en-GB"/>
        </w:rPr>
        <w:t xml:space="preserve">some form of </w:t>
      </w:r>
      <w:r w:rsidRPr="00F56E4E">
        <w:rPr>
          <w:rFonts w:asciiTheme="minorHAnsi" w:hAnsiTheme="minorHAnsi" w:cs="Arial"/>
          <w:szCs w:val="20"/>
          <w:lang w:val="en-GB"/>
        </w:rPr>
        <w:t>UE-assisted resource allocation, in which one UE either assists or performs resource allocation for anothe</w:t>
      </w:r>
      <w:r w:rsidR="00C50067">
        <w:rPr>
          <w:rFonts w:asciiTheme="minorHAnsi" w:hAnsiTheme="minorHAnsi" w:cs="Arial"/>
          <w:szCs w:val="20"/>
          <w:lang w:val="en-GB"/>
        </w:rPr>
        <w:t>r UE ([1], section 7.2.4.1.4).</w:t>
      </w:r>
    </w:p>
    <w:p w14:paraId="4C460ABD" w14:textId="70992A1F" w:rsidR="00E55DCB" w:rsidRPr="00F56E4E" w:rsidRDefault="00C9222B" w:rsidP="00820C96">
      <w:pPr>
        <w:spacing w:after="120"/>
        <w:jc w:val="both"/>
        <w:rPr>
          <w:rFonts w:asciiTheme="minorHAnsi" w:hAnsiTheme="minorHAnsi" w:cs="Arial"/>
          <w:szCs w:val="20"/>
          <w:lang w:val="en-GB"/>
        </w:rPr>
      </w:pPr>
      <w:r>
        <w:rPr>
          <w:rFonts w:asciiTheme="minorHAnsi" w:hAnsiTheme="minorHAnsi" w:cs="Arial"/>
          <w:szCs w:val="20"/>
          <w:lang w:val="en-GB"/>
        </w:rPr>
        <w:t xml:space="preserve">During </w:t>
      </w:r>
      <w:r w:rsidR="00F8540F">
        <w:rPr>
          <w:rFonts w:asciiTheme="minorHAnsi" w:hAnsiTheme="minorHAnsi" w:cs="Arial"/>
          <w:szCs w:val="20"/>
          <w:lang w:val="en-GB"/>
        </w:rPr>
        <w:t xml:space="preserve">the RAN2 </w:t>
      </w:r>
      <w:r>
        <w:rPr>
          <w:rFonts w:asciiTheme="minorHAnsi" w:hAnsiTheme="minorHAnsi" w:cs="Arial"/>
          <w:szCs w:val="20"/>
          <w:lang w:val="en-GB"/>
        </w:rPr>
        <w:t xml:space="preserve">email discussion [104#59] summarised in [3], there was consensus not to support “indirect scheduling” of one UE by another for mode 1 (Question 1-4), but there was interest from some companies in supporting an “indirect resource pool” approach especially for </w:t>
      </w:r>
      <w:proofErr w:type="spellStart"/>
      <w:r>
        <w:rPr>
          <w:rFonts w:asciiTheme="minorHAnsi" w:hAnsiTheme="minorHAnsi" w:cs="Arial"/>
          <w:szCs w:val="20"/>
          <w:lang w:val="en-GB"/>
        </w:rPr>
        <w:t>groupcast</w:t>
      </w:r>
      <w:proofErr w:type="spellEnd"/>
      <w:r w:rsidR="00B94CDC">
        <w:rPr>
          <w:rFonts w:asciiTheme="minorHAnsi" w:hAnsiTheme="minorHAnsi" w:cs="Arial"/>
          <w:szCs w:val="20"/>
          <w:lang w:val="en-GB"/>
        </w:rPr>
        <w:t>, related to mode 2</w:t>
      </w:r>
      <w:r>
        <w:rPr>
          <w:rFonts w:asciiTheme="minorHAnsi" w:hAnsiTheme="minorHAnsi" w:cs="Arial"/>
          <w:szCs w:val="20"/>
          <w:lang w:val="en-GB"/>
        </w:rPr>
        <w:t xml:space="preserve"> (Questions 1-12 and 1-13).  </w:t>
      </w:r>
      <w:r w:rsidR="00B94CDC">
        <w:rPr>
          <w:rFonts w:asciiTheme="minorHAnsi" w:hAnsiTheme="minorHAnsi" w:cs="Arial"/>
          <w:szCs w:val="20"/>
          <w:lang w:val="en-GB"/>
        </w:rPr>
        <w:t xml:space="preserve">Such an operation would fall within mode 2(d) (one UE schedules resources for another, which RAN1 have understood broadly to include “assistance” with resource selection).  </w:t>
      </w:r>
      <w:r w:rsidR="00186BD5">
        <w:rPr>
          <w:rFonts w:asciiTheme="minorHAnsi" w:hAnsiTheme="minorHAnsi" w:cs="Arial"/>
          <w:szCs w:val="20"/>
          <w:lang w:val="en-GB"/>
        </w:rPr>
        <w:t>This is consistent with the RAN1 agreement from the January 2019 ad-hoc to study the case that “</w:t>
      </w:r>
      <w:r w:rsidR="00186BD5" w:rsidRPr="00186BD5">
        <w:rPr>
          <w:rFonts w:asciiTheme="minorHAnsi" w:hAnsiTheme="minorHAnsi" w:cs="Arial"/>
          <w:szCs w:val="20"/>
          <w:lang w:val="en-GB"/>
        </w:rPr>
        <w:t>at least for group operation, a member UE transmits on resources configured by another UE (S-UE) within the same group</w:t>
      </w:r>
      <w:r w:rsidR="00186BD5">
        <w:rPr>
          <w:rFonts w:asciiTheme="minorHAnsi" w:hAnsiTheme="minorHAnsi" w:cs="Arial"/>
          <w:szCs w:val="20"/>
          <w:lang w:val="en-GB"/>
        </w:rPr>
        <w:t xml:space="preserve">” ([4]). </w:t>
      </w:r>
      <w:r w:rsidR="00186BD5" w:rsidRPr="00186BD5">
        <w:rPr>
          <w:rFonts w:asciiTheme="minorHAnsi" w:hAnsiTheme="minorHAnsi" w:cs="Arial"/>
          <w:szCs w:val="20"/>
          <w:lang w:val="en-GB"/>
        </w:rPr>
        <w:t xml:space="preserve"> </w:t>
      </w:r>
      <w:r>
        <w:rPr>
          <w:rFonts w:asciiTheme="minorHAnsi" w:hAnsiTheme="minorHAnsi" w:cs="Arial"/>
          <w:szCs w:val="20"/>
          <w:lang w:val="en-GB"/>
        </w:rPr>
        <w:t>This document further examines the indirect resource pool approach.</w:t>
      </w:r>
    </w:p>
    <w:p w14:paraId="3E9FB8B8" w14:textId="77777777" w:rsidR="006564D5" w:rsidRPr="00DE165A" w:rsidRDefault="00A07E02" w:rsidP="00996FF6">
      <w:pPr>
        <w:pStyle w:val="Heading1"/>
        <w:overflowPunct w:val="0"/>
        <w:autoSpaceDE w:val="0"/>
        <w:autoSpaceDN w:val="0"/>
        <w:adjustRightInd w:val="0"/>
        <w:rPr>
          <w:rFonts w:eastAsia="PMingLiU" w:cs="Arial"/>
        </w:rPr>
      </w:pPr>
      <w:bookmarkStart w:id="6" w:name="OLE_LINK110"/>
      <w:bookmarkStart w:id="7" w:name="OLE_LINK109"/>
      <w:bookmarkEnd w:id="3"/>
      <w:bookmarkEnd w:id="4"/>
      <w:bookmarkEnd w:id="5"/>
      <w:r w:rsidRPr="00DE165A">
        <w:rPr>
          <w:rFonts w:eastAsia="PMingLiU" w:cs="Arial"/>
        </w:rPr>
        <w:t>Discussion</w:t>
      </w:r>
      <w:bookmarkStart w:id="8" w:name="OLE_LINK41"/>
      <w:bookmarkStart w:id="9" w:name="OLE_LINK24"/>
      <w:bookmarkStart w:id="10" w:name="OLE_LINK17"/>
      <w:bookmarkStart w:id="11" w:name="OLE_LINK16"/>
      <w:bookmarkEnd w:id="6"/>
      <w:bookmarkEnd w:id="7"/>
    </w:p>
    <w:bookmarkEnd w:id="8"/>
    <w:bookmarkEnd w:id="9"/>
    <w:bookmarkEnd w:id="10"/>
    <w:bookmarkEnd w:id="11"/>
    <w:p w14:paraId="439C2220" w14:textId="7C9A5AD7" w:rsidR="00C9222B" w:rsidRDefault="00C9222B" w:rsidP="00BE23C6">
      <w:pPr>
        <w:spacing w:after="240"/>
        <w:rPr>
          <w:lang w:val="en-GB" w:eastAsia="en-US"/>
        </w:rPr>
      </w:pPr>
      <w:r>
        <w:rPr>
          <w:lang w:val="en-GB" w:eastAsia="en-US"/>
        </w:rPr>
        <w:t xml:space="preserve">We assume indirect approaches are </w:t>
      </w:r>
      <w:r w:rsidR="00706AF1">
        <w:rPr>
          <w:lang w:val="en-GB" w:eastAsia="en-US"/>
        </w:rPr>
        <w:t>especially</w:t>
      </w:r>
      <w:r>
        <w:rPr>
          <w:lang w:val="en-GB" w:eastAsia="en-US"/>
        </w:rPr>
        <w:t xml:space="preserve"> useful for partial-coverage scenarios, in which the in-coverage UE forwards the resource pool to an out-of-coverage UE.  As noted in the email discussion</w:t>
      </w:r>
      <w:r w:rsidR="00706AF1">
        <w:rPr>
          <w:lang w:val="en-GB" w:eastAsia="en-US"/>
        </w:rPr>
        <w:t xml:space="preserve"> and suggested by the RAN1 conclusion</w:t>
      </w:r>
      <w:r>
        <w:rPr>
          <w:lang w:val="en-GB" w:eastAsia="en-US"/>
        </w:rPr>
        <w:t xml:space="preserve">, this could be particularly suitable for </w:t>
      </w:r>
      <w:proofErr w:type="spellStart"/>
      <w:r>
        <w:rPr>
          <w:lang w:val="en-GB" w:eastAsia="en-US"/>
        </w:rPr>
        <w:t>groupcast</w:t>
      </w:r>
      <w:proofErr w:type="spellEnd"/>
      <w:r>
        <w:rPr>
          <w:lang w:val="en-GB" w:eastAsia="en-US"/>
        </w:rPr>
        <w:t xml:space="preserve"> use cases, where an in-coverage UE (most likely the group leader, though it seems needed to consider what happens if the leader is out of coverage, as well as leaderless groups) forwards a resource pool to multiple out-of-coverage UEs that can then use it to communicate.</w:t>
      </w:r>
      <w:r w:rsidR="00B94CDC">
        <w:rPr>
          <w:lang w:val="en-GB" w:eastAsia="en-US"/>
        </w:rPr>
        <w:t xml:space="preserve">  It can also apply to in-coverage use cases as a way of maintaining reliable communication with a fixed configuration, which could persist through handover and avoid the disruption of changing resources frequently.</w:t>
      </w:r>
    </w:p>
    <w:p w14:paraId="5089D743" w14:textId="16F164E5" w:rsidR="001A62C8" w:rsidRDefault="001A62C8" w:rsidP="001A62C8">
      <w:pPr>
        <w:pStyle w:val="Heading2"/>
      </w:pPr>
      <w:r>
        <w:t>Baseline</w:t>
      </w:r>
      <w:r w:rsidR="00C9222B">
        <w:t xml:space="preserve"> approach</w:t>
      </w:r>
    </w:p>
    <w:p w14:paraId="4645AC07" w14:textId="77777777" w:rsidR="00706AF1" w:rsidRDefault="001A62C8" w:rsidP="00BE23C6">
      <w:pPr>
        <w:spacing w:after="240"/>
        <w:rPr>
          <w:lang w:val="en-GB" w:eastAsia="en-US"/>
        </w:rPr>
      </w:pPr>
      <w:r>
        <w:rPr>
          <w:lang w:val="en-GB" w:eastAsia="en-US"/>
        </w:rPr>
        <w:t xml:space="preserve">As a baseline approach, </w:t>
      </w:r>
      <w:r w:rsidR="00563220">
        <w:rPr>
          <w:lang w:val="en-GB" w:eastAsia="en-US"/>
        </w:rPr>
        <w:t xml:space="preserve">which seems to be what most companies envisioned in answering questions 1-12 and 1-13, </w:t>
      </w:r>
      <w:r>
        <w:rPr>
          <w:lang w:val="en-GB" w:eastAsia="en-US"/>
        </w:rPr>
        <w:t xml:space="preserve">a scheme can be imagined in which the </w:t>
      </w:r>
      <w:proofErr w:type="spellStart"/>
      <w:r>
        <w:rPr>
          <w:lang w:val="en-GB" w:eastAsia="en-US"/>
        </w:rPr>
        <w:t>gNB</w:t>
      </w:r>
      <w:proofErr w:type="spellEnd"/>
      <w:r>
        <w:rPr>
          <w:lang w:val="en-GB" w:eastAsia="en-US"/>
        </w:rPr>
        <w:t xml:space="preserve"> provides a resource pool to the scheduling UE, which then forwards it to the scheduled UE, and the scheduled UE uses resources in the pool based on allocation mode 2</w:t>
      </w:r>
      <w:r w:rsidR="001F314B">
        <w:rPr>
          <w:lang w:val="en-GB" w:eastAsia="en-US"/>
        </w:rPr>
        <w:t>(a)</w:t>
      </w:r>
      <w:r>
        <w:rPr>
          <w:lang w:val="en-GB" w:eastAsia="en-US"/>
        </w:rPr>
        <w:t xml:space="preserve"> (e.g. by random selection).  </w:t>
      </w:r>
      <w:r w:rsidR="000E2F45">
        <w:rPr>
          <w:lang w:val="en-GB" w:eastAsia="en-US"/>
        </w:rPr>
        <w:t xml:space="preserve">This would </w:t>
      </w:r>
      <w:r w:rsidR="00651EA0">
        <w:rPr>
          <w:lang w:val="en-GB" w:eastAsia="en-US"/>
        </w:rPr>
        <w:t>primarily</w:t>
      </w:r>
      <w:r w:rsidR="000E2F45">
        <w:rPr>
          <w:lang w:val="en-GB" w:eastAsia="en-US"/>
        </w:rPr>
        <w:t xml:space="preserve"> be useful for the partial-coverage case, with the scheduled UE out of </w:t>
      </w:r>
      <w:proofErr w:type="spellStart"/>
      <w:r w:rsidR="000E2F45">
        <w:rPr>
          <w:lang w:val="en-GB" w:eastAsia="en-US"/>
        </w:rPr>
        <w:t>gNB</w:t>
      </w:r>
      <w:proofErr w:type="spellEnd"/>
      <w:r w:rsidR="000E2F45">
        <w:rPr>
          <w:lang w:val="en-GB" w:eastAsia="en-US"/>
        </w:rPr>
        <w:t xml:space="preserve"> coverage</w:t>
      </w:r>
      <w:r w:rsidR="00706AF1">
        <w:rPr>
          <w:lang w:val="en-GB" w:eastAsia="en-US"/>
        </w:rPr>
        <w:t xml:space="preserve"> (otherwise the scheduled UE could receive the pool directly from the </w:t>
      </w:r>
      <w:proofErr w:type="spellStart"/>
      <w:r w:rsidR="00706AF1">
        <w:rPr>
          <w:lang w:val="en-GB" w:eastAsia="en-US"/>
        </w:rPr>
        <w:t>gNB</w:t>
      </w:r>
      <w:proofErr w:type="spellEnd"/>
      <w:r w:rsidR="00706AF1">
        <w:rPr>
          <w:lang w:val="en-GB" w:eastAsia="en-US"/>
        </w:rPr>
        <w:t>), but this distinction does not seem to affect the specification—if the signalling and procedures are there to support forwarding of a resource pool in this manner, there is no obvious obstacle to using them for an in-coverage UE as well.</w:t>
      </w:r>
    </w:p>
    <w:p w14:paraId="1F231517" w14:textId="79E55B56" w:rsidR="001A62C8" w:rsidRDefault="001A62C8" w:rsidP="00BE23C6">
      <w:pPr>
        <w:spacing w:after="240"/>
        <w:rPr>
          <w:lang w:val="en-GB" w:eastAsia="en-US"/>
        </w:rPr>
      </w:pPr>
      <w:r>
        <w:rPr>
          <w:lang w:val="en-GB" w:eastAsia="en-US"/>
        </w:rPr>
        <w:t xml:space="preserve">A message flow for this approach is shown in </w:t>
      </w:r>
      <w:r>
        <w:rPr>
          <w:lang w:val="en-GB" w:eastAsia="en-US"/>
        </w:rPr>
        <w:fldChar w:fldCharType="begin"/>
      </w:r>
      <w:r>
        <w:rPr>
          <w:lang w:val="en-GB" w:eastAsia="en-US"/>
        </w:rPr>
        <w:instrText xml:space="preserve"> REF _Ref532549710 \h </w:instrText>
      </w:r>
      <w:r>
        <w:rPr>
          <w:lang w:val="en-GB" w:eastAsia="en-US"/>
        </w:rPr>
      </w:r>
      <w:r>
        <w:rPr>
          <w:lang w:val="en-GB" w:eastAsia="en-US"/>
        </w:rPr>
        <w:fldChar w:fldCharType="separate"/>
      </w:r>
      <w:r>
        <w:t xml:space="preserve">Figure </w:t>
      </w:r>
      <w:r>
        <w:rPr>
          <w:noProof/>
        </w:rPr>
        <w:t>1</w:t>
      </w:r>
      <w:r>
        <w:rPr>
          <w:lang w:val="en-GB" w:eastAsia="en-US"/>
        </w:rPr>
        <w:fldChar w:fldCharType="end"/>
      </w:r>
      <w:r>
        <w:rPr>
          <w:lang w:val="en-GB" w:eastAsia="en-US"/>
        </w:rPr>
        <w:t>.</w:t>
      </w:r>
    </w:p>
    <w:p w14:paraId="55F364CB" w14:textId="0933028D" w:rsidR="001A62C8" w:rsidRDefault="001A62C8" w:rsidP="001A62C8">
      <w:pPr>
        <w:keepNext/>
        <w:spacing w:after="240"/>
        <w:jc w:val="center"/>
      </w:pPr>
      <w:r>
        <w:object w:dxaOrig="10515" w:dyaOrig="2955" w14:anchorId="1B7476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15.5pt" o:ole="">
            <v:imagedata r:id="rId8" o:title=""/>
          </v:shape>
          <o:OLEObject Type="Embed" ProgID="Visio.Drawing.11" ShapeID="_x0000_i1025" DrawAspect="Content" ObjectID="_1611679113" r:id="rId9"/>
        </w:object>
      </w:r>
    </w:p>
    <w:p w14:paraId="2211BADF" w14:textId="4FA981B4" w:rsidR="001A62C8" w:rsidRDefault="001A62C8" w:rsidP="001A62C8">
      <w:pPr>
        <w:pStyle w:val="Caption"/>
        <w:jc w:val="center"/>
      </w:pPr>
      <w:bookmarkStart w:id="12" w:name="_Ref532549710"/>
      <w:bookmarkStart w:id="13" w:name="_Ref532549699"/>
      <w:r>
        <w:t xml:space="preserve">Figure </w:t>
      </w:r>
      <w:r>
        <w:fldChar w:fldCharType="begin"/>
      </w:r>
      <w:r>
        <w:instrText xml:space="preserve"> SEQ Figure \* ARABIC </w:instrText>
      </w:r>
      <w:r>
        <w:fldChar w:fldCharType="separate"/>
      </w:r>
      <w:r w:rsidR="00654D35">
        <w:rPr>
          <w:noProof/>
        </w:rPr>
        <w:t>1</w:t>
      </w:r>
      <w:r>
        <w:fldChar w:fldCharType="end"/>
      </w:r>
      <w:bookmarkEnd w:id="12"/>
      <w:r>
        <w:t xml:space="preserve">: </w:t>
      </w:r>
      <w:r w:rsidR="00C9222B">
        <w:t>Baseline</w:t>
      </w:r>
      <w:r>
        <w:t xml:space="preserve"> approach</w:t>
      </w:r>
      <w:bookmarkEnd w:id="13"/>
    </w:p>
    <w:p w14:paraId="0305E404" w14:textId="46559BE3" w:rsidR="000E2F45" w:rsidRDefault="000E2F45" w:rsidP="000E2F45">
      <w:pPr>
        <w:spacing w:after="240"/>
        <w:rPr>
          <w:lang w:val="en-GB" w:eastAsia="en-US"/>
        </w:rPr>
      </w:pPr>
      <w:r>
        <w:rPr>
          <w:lang w:val="en-GB" w:eastAsia="en-US"/>
        </w:rPr>
        <w:t xml:space="preserve">This baseline approach is easy to support and provides the simplest way for out-of-coverage UEs to obtain resources from the </w:t>
      </w:r>
      <w:proofErr w:type="spellStart"/>
      <w:r>
        <w:rPr>
          <w:lang w:val="en-GB" w:eastAsia="en-US"/>
        </w:rPr>
        <w:t>gNB</w:t>
      </w:r>
      <w:proofErr w:type="spellEnd"/>
      <w:r>
        <w:rPr>
          <w:lang w:val="en-GB" w:eastAsia="en-US"/>
        </w:rPr>
        <w:t xml:space="preserve">.  It seems obvious that the pool would be indicated by RRC signalling on the </w:t>
      </w:r>
      <w:proofErr w:type="spellStart"/>
      <w:r>
        <w:rPr>
          <w:lang w:val="en-GB" w:eastAsia="en-US"/>
        </w:rPr>
        <w:t>sidelink</w:t>
      </w:r>
      <w:proofErr w:type="spellEnd"/>
      <w:r>
        <w:rPr>
          <w:lang w:val="en-GB" w:eastAsia="en-US"/>
        </w:rPr>
        <w:t>.</w:t>
      </w:r>
    </w:p>
    <w:p w14:paraId="10D06751" w14:textId="1083CA01" w:rsidR="000E2F45" w:rsidRDefault="000E2F45" w:rsidP="000E2F45">
      <w:pPr>
        <w:spacing w:after="240"/>
        <w:rPr>
          <w:lang w:val="en-GB" w:eastAsia="en-US"/>
        </w:rPr>
      </w:pPr>
      <w:r>
        <w:rPr>
          <w:b/>
          <w:lang w:val="en-GB" w:eastAsia="en-US"/>
        </w:rPr>
        <w:t>Proposal 1:</w:t>
      </w:r>
      <w:r>
        <w:rPr>
          <w:lang w:val="en-GB" w:eastAsia="en-US"/>
        </w:rPr>
        <w:t xml:space="preserve"> Support a UE-assisted </w:t>
      </w:r>
      <w:r w:rsidR="00144E91">
        <w:rPr>
          <w:lang w:val="en-GB" w:eastAsia="en-US"/>
        </w:rPr>
        <w:t>“</w:t>
      </w:r>
      <w:r w:rsidR="00C50067">
        <w:rPr>
          <w:lang w:val="en-GB" w:eastAsia="en-US"/>
        </w:rPr>
        <w:t>baseline</w:t>
      </w:r>
      <w:r w:rsidR="00144E91">
        <w:rPr>
          <w:lang w:val="en-GB" w:eastAsia="en-US"/>
        </w:rPr>
        <w:t>”</w:t>
      </w:r>
      <w:r>
        <w:rPr>
          <w:lang w:val="en-GB" w:eastAsia="en-US"/>
        </w:rPr>
        <w:t xml:space="preserve"> </w:t>
      </w:r>
      <w:r w:rsidR="00C50067">
        <w:rPr>
          <w:lang w:val="en-GB" w:eastAsia="en-US"/>
        </w:rPr>
        <w:t xml:space="preserve">approach </w:t>
      </w:r>
      <w:r>
        <w:rPr>
          <w:lang w:val="en-GB" w:eastAsia="en-US"/>
        </w:rPr>
        <w:t xml:space="preserve">in which the UE assistance consists of delivering by </w:t>
      </w:r>
      <w:proofErr w:type="spellStart"/>
      <w:r>
        <w:rPr>
          <w:lang w:val="en-GB" w:eastAsia="en-US"/>
        </w:rPr>
        <w:t>sidelink</w:t>
      </w:r>
      <w:proofErr w:type="spellEnd"/>
      <w:r>
        <w:rPr>
          <w:lang w:val="en-GB" w:eastAsia="en-US"/>
        </w:rPr>
        <w:t xml:space="preserve"> RRC signalling a resource pool within which the scheduled UE can perform mode 2</w:t>
      </w:r>
      <w:r w:rsidR="001F314B">
        <w:rPr>
          <w:lang w:val="en-GB" w:eastAsia="en-US"/>
        </w:rPr>
        <w:t>(a)</w:t>
      </w:r>
      <w:r>
        <w:rPr>
          <w:lang w:val="en-GB" w:eastAsia="en-US"/>
        </w:rPr>
        <w:t xml:space="preserve"> resource selection.</w:t>
      </w:r>
    </w:p>
    <w:p w14:paraId="34E1A43E" w14:textId="37D44419" w:rsidR="00C9222B" w:rsidRDefault="00C9222B" w:rsidP="000E2F45">
      <w:pPr>
        <w:spacing w:after="240"/>
        <w:rPr>
          <w:lang w:val="en-GB" w:eastAsia="en-US"/>
        </w:rPr>
      </w:pPr>
      <w:r>
        <w:rPr>
          <w:lang w:val="en-GB" w:eastAsia="en-US"/>
        </w:rPr>
        <w:t xml:space="preserve">Although the strongest use cases are for </w:t>
      </w:r>
      <w:proofErr w:type="spellStart"/>
      <w:r>
        <w:rPr>
          <w:lang w:val="en-GB" w:eastAsia="en-US"/>
        </w:rPr>
        <w:t>groupcast</w:t>
      </w:r>
      <w:proofErr w:type="spellEnd"/>
      <w:r>
        <w:rPr>
          <w:lang w:val="en-GB" w:eastAsia="en-US"/>
        </w:rPr>
        <w:t>, it does</w:t>
      </w:r>
      <w:r w:rsidR="00563220">
        <w:rPr>
          <w:lang w:val="en-GB" w:eastAsia="en-US"/>
        </w:rPr>
        <w:t xml:space="preserve"> </w:t>
      </w:r>
      <w:r>
        <w:rPr>
          <w:lang w:val="en-GB" w:eastAsia="en-US"/>
        </w:rPr>
        <w:t>n</w:t>
      </w:r>
      <w:r w:rsidR="00563220">
        <w:rPr>
          <w:lang w:val="en-GB" w:eastAsia="en-US"/>
        </w:rPr>
        <w:t>o</w:t>
      </w:r>
      <w:r>
        <w:rPr>
          <w:lang w:val="en-GB" w:eastAsia="en-US"/>
        </w:rPr>
        <w:t xml:space="preserve">t seem necessary to build this restriction into the specification.  The signalling and procedures should be as agnostic as possible to cast type in general, and here it seems that they would be valid for any service </w:t>
      </w:r>
      <w:r w:rsidR="00706AF1">
        <w:rPr>
          <w:lang w:val="en-GB" w:eastAsia="en-US"/>
        </w:rPr>
        <w:t>whose requirements were compatible with</w:t>
      </w:r>
      <w:r>
        <w:rPr>
          <w:lang w:val="en-GB" w:eastAsia="en-US"/>
        </w:rPr>
        <w:t xml:space="preserve"> mode 2(a) resource allocation</w:t>
      </w:r>
      <w:r w:rsidR="00C50067">
        <w:rPr>
          <w:lang w:val="en-GB" w:eastAsia="en-US"/>
        </w:rPr>
        <w:t>.</w:t>
      </w:r>
    </w:p>
    <w:p w14:paraId="2AE94B47" w14:textId="7118E891" w:rsidR="00C50067" w:rsidRPr="00C50067" w:rsidRDefault="00C50067" w:rsidP="000E2F45">
      <w:pPr>
        <w:spacing w:after="240"/>
        <w:rPr>
          <w:lang w:val="en-GB" w:eastAsia="en-US"/>
        </w:rPr>
      </w:pPr>
      <w:r>
        <w:rPr>
          <w:b/>
          <w:lang w:val="en-GB" w:eastAsia="en-US"/>
        </w:rPr>
        <w:t>Proposal 2:</w:t>
      </w:r>
      <w:r>
        <w:rPr>
          <w:lang w:val="en-GB" w:eastAsia="en-US"/>
        </w:rPr>
        <w:t xml:space="preserve"> No dependency on the cast type is specified for the baseline approach.</w:t>
      </w:r>
    </w:p>
    <w:p w14:paraId="1FBCFB6F" w14:textId="30D6A756" w:rsidR="005C28B4" w:rsidRDefault="004B0A17" w:rsidP="005C28B4">
      <w:pPr>
        <w:pStyle w:val="Heading2"/>
      </w:pPr>
      <w:r>
        <w:t>UE-assisted allocation</w:t>
      </w:r>
    </w:p>
    <w:p w14:paraId="4F3D40B7" w14:textId="0D3D9ED4" w:rsidR="00BE23C6" w:rsidRDefault="00C50067" w:rsidP="00BE23C6">
      <w:pPr>
        <w:spacing w:after="240"/>
        <w:rPr>
          <w:lang w:val="en-GB" w:eastAsia="en-US"/>
        </w:rPr>
      </w:pPr>
      <w:r>
        <w:rPr>
          <w:lang w:val="en-GB" w:eastAsia="en-US"/>
        </w:rPr>
        <w:t>It is possible to consider</w:t>
      </w:r>
      <w:r w:rsidR="00BE23C6" w:rsidRPr="00BE23C6">
        <w:rPr>
          <w:lang w:val="en-GB" w:eastAsia="en-US"/>
        </w:rPr>
        <w:t xml:space="preserve"> </w:t>
      </w:r>
      <w:r w:rsidR="000E2F45">
        <w:rPr>
          <w:lang w:val="en-GB" w:eastAsia="en-US"/>
        </w:rPr>
        <w:t>a more sophisticated</w:t>
      </w:r>
      <w:r w:rsidR="00BE23C6" w:rsidRPr="00BE23C6">
        <w:rPr>
          <w:lang w:val="en-GB" w:eastAsia="en-US"/>
        </w:rPr>
        <w:t xml:space="preserve"> </w:t>
      </w:r>
      <w:r>
        <w:rPr>
          <w:lang w:val="en-GB" w:eastAsia="en-US"/>
        </w:rPr>
        <w:t xml:space="preserve">UE-assisted </w:t>
      </w:r>
      <w:r w:rsidR="00BE23C6" w:rsidRPr="00BE23C6">
        <w:rPr>
          <w:lang w:val="en-GB" w:eastAsia="en-US"/>
        </w:rPr>
        <w:t xml:space="preserve">approach, </w:t>
      </w:r>
      <w:r>
        <w:rPr>
          <w:lang w:val="en-GB" w:eastAsia="en-US"/>
        </w:rPr>
        <w:t xml:space="preserve">in which </w:t>
      </w:r>
      <w:r w:rsidR="00BE23C6" w:rsidRPr="00BE23C6">
        <w:rPr>
          <w:lang w:val="en-GB" w:eastAsia="en-US"/>
        </w:rPr>
        <w:t xml:space="preserve">the </w:t>
      </w:r>
      <w:r>
        <w:rPr>
          <w:lang w:val="en-GB" w:eastAsia="en-US"/>
        </w:rPr>
        <w:t>“</w:t>
      </w:r>
      <w:r w:rsidR="00CE701F">
        <w:rPr>
          <w:lang w:val="en-GB" w:eastAsia="en-US"/>
        </w:rPr>
        <w:t>scheduling</w:t>
      </w:r>
      <w:r>
        <w:rPr>
          <w:lang w:val="en-GB" w:eastAsia="en-US"/>
        </w:rPr>
        <w:t>”</w:t>
      </w:r>
      <w:r w:rsidR="00BE23C6" w:rsidRPr="00BE23C6">
        <w:rPr>
          <w:lang w:val="en-GB" w:eastAsia="en-US"/>
        </w:rPr>
        <w:t xml:space="preserve"> UE obtains a grant of resources by some means (e.g. from the </w:t>
      </w:r>
      <w:proofErr w:type="spellStart"/>
      <w:r w:rsidR="00BE23C6" w:rsidRPr="00BE23C6">
        <w:rPr>
          <w:lang w:val="en-GB" w:eastAsia="en-US"/>
        </w:rPr>
        <w:t>gNB</w:t>
      </w:r>
      <w:proofErr w:type="spellEnd"/>
      <w:r w:rsidR="00BE23C6" w:rsidRPr="00BE23C6">
        <w:rPr>
          <w:lang w:val="en-GB" w:eastAsia="en-US"/>
        </w:rPr>
        <w:t xml:space="preserve"> while in coverage, or by an autonomous resource allocation scheme), and subsequently receives, processes, and answers a </w:t>
      </w:r>
      <w:proofErr w:type="spellStart"/>
      <w:r w:rsidR="000E2F45">
        <w:rPr>
          <w:lang w:val="en-GB" w:eastAsia="en-US"/>
        </w:rPr>
        <w:t>sidelink</w:t>
      </w:r>
      <w:proofErr w:type="spellEnd"/>
      <w:r w:rsidR="000E2F45">
        <w:rPr>
          <w:lang w:val="en-GB" w:eastAsia="en-US"/>
        </w:rPr>
        <w:t xml:space="preserve"> BSR</w:t>
      </w:r>
      <w:r w:rsidR="00BE23C6" w:rsidRPr="00BE23C6">
        <w:rPr>
          <w:lang w:val="en-GB" w:eastAsia="en-US"/>
        </w:rPr>
        <w:t xml:space="preserve"> from the </w:t>
      </w:r>
      <w:r>
        <w:rPr>
          <w:lang w:val="en-GB" w:eastAsia="en-US"/>
        </w:rPr>
        <w:t>“</w:t>
      </w:r>
      <w:r w:rsidR="00CE701F">
        <w:rPr>
          <w:lang w:val="en-GB" w:eastAsia="en-US"/>
        </w:rPr>
        <w:t>scheduled</w:t>
      </w:r>
      <w:r>
        <w:rPr>
          <w:lang w:val="en-GB" w:eastAsia="en-US"/>
        </w:rPr>
        <w:t>”</w:t>
      </w:r>
      <w:r w:rsidR="00BE23C6" w:rsidRPr="00BE23C6">
        <w:rPr>
          <w:lang w:val="en-GB" w:eastAsia="en-US"/>
        </w:rPr>
        <w:t xml:space="preserve"> UE</w:t>
      </w:r>
      <w:r w:rsidR="00BE23C6">
        <w:rPr>
          <w:lang w:val="en-GB" w:eastAsia="en-US"/>
        </w:rPr>
        <w:t xml:space="preserve">, as shown in </w:t>
      </w:r>
      <w:r w:rsidR="00BE23C6">
        <w:rPr>
          <w:lang w:val="en-GB" w:eastAsia="en-US"/>
        </w:rPr>
        <w:fldChar w:fldCharType="begin"/>
      </w:r>
      <w:r w:rsidR="00BE23C6">
        <w:rPr>
          <w:lang w:val="en-GB" w:eastAsia="en-US"/>
        </w:rPr>
        <w:instrText xml:space="preserve"> REF _Ref525033836 \h </w:instrText>
      </w:r>
      <w:r w:rsidR="00BE23C6">
        <w:rPr>
          <w:lang w:val="en-GB" w:eastAsia="en-US"/>
        </w:rPr>
      </w:r>
      <w:r w:rsidR="00BE23C6">
        <w:rPr>
          <w:lang w:val="en-GB" w:eastAsia="en-US"/>
        </w:rPr>
        <w:fldChar w:fldCharType="separate"/>
      </w:r>
      <w:r w:rsidR="000E2F45">
        <w:t xml:space="preserve">Figure </w:t>
      </w:r>
      <w:r w:rsidR="000E2F45">
        <w:rPr>
          <w:noProof/>
        </w:rPr>
        <w:t>2</w:t>
      </w:r>
      <w:r w:rsidR="00BE23C6">
        <w:rPr>
          <w:lang w:val="en-GB" w:eastAsia="en-US"/>
        </w:rPr>
        <w:fldChar w:fldCharType="end"/>
      </w:r>
      <w:r w:rsidR="00BE23C6" w:rsidRPr="00BE23C6">
        <w:rPr>
          <w:lang w:val="en-GB" w:eastAsia="en-US"/>
        </w:rPr>
        <w:t>.</w:t>
      </w:r>
      <w:r w:rsidR="00E43F05">
        <w:rPr>
          <w:lang w:val="en-GB" w:eastAsia="en-US"/>
        </w:rPr>
        <w:t xml:space="preserve">  This is similar to the relay-UE-assisted scheduling mode that was considered as part of the FeD2D study item (as described e.g. in [2])</w:t>
      </w:r>
      <w:r w:rsidR="000E2F45">
        <w:rPr>
          <w:lang w:val="en-GB" w:eastAsia="en-US"/>
        </w:rPr>
        <w:t xml:space="preserve">, and </w:t>
      </w:r>
      <w:r w:rsidR="001F314B">
        <w:rPr>
          <w:lang w:val="en-GB" w:eastAsia="en-US"/>
        </w:rPr>
        <w:t>falls under the scope of mode 2(d)</w:t>
      </w:r>
      <w:r w:rsidR="000E2F45">
        <w:rPr>
          <w:lang w:val="en-GB" w:eastAsia="en-US"/>
        </w:rPr>
        <w:t xml:space="preserve"> in which one UE schedules </w:t>
      </w:r>
      <w:proofErr w:type="spellStart"/>
      <w:r w:rsidR="000E2F45">
        <w:rPr>
          <w:lang w:val="en-GB" w:eastAsia="en-US"/>
        </w:rPr>
        <w:t>sidelink</w:t>
      </w:r>
      <w:proofErr w:type="spellEnd"/>
      <w:r w:rsidR="000E2F45">
        <w:rPr>
          <w:lang w:val="en-GB" w:eastAsia="en-US"/>
        </w:rPr>
        <w:t xml:space="preserve"> resources for another</w:t>
      </w:r>
      <w:r w:rsidR="00E43F05">
        <w:rPr>
          <w:lang w:val="en-GB" w:eastAsia="en-US"/>
        </w:rPr>
        <w:t>.</w:t>
      </w:r>
    </w:p>
    <w:p w14:paraId="0AC3D275" w14:textId="474CF12F" w:rsidR="00BE23C6" w:rsidRDefault="000E2F45" w:rsidP="00BE23C6">
      <w:pPr>
        <w:keepNext/>
        <w:spacing w:after="240"/>
        <w:jc w:val="center"/>
      </w:pPr>
      <w:r>
        <w:object w:dxaOrig="8661" w:dyaOrig="3806" w14:anchorId="65E8D041">
          <v:shape id="_x0000_i1026" type="#_x0000_t75" style="width:414.75pt;height:183pt" o:ole="">
            <v:imagedata r:id="rId10" o:title=""/>
          </v:shape>
          <o:OLEObject Type="Embed" ProgID="Visio.Drawing.11" ShapeID="_x0000_i1026" DrawAspect="Content" ObjectID="_1611679114" r:id="rId11"/>
        </w:object>
      </w:r>
    </w:p>
    <w:p w14:paraId="0E03CAE5" w14:textId="5926F90E" w:rsidR="00BE23C6" w:rsidRDefault="00BE23C6" w:rsidP="00BE23C6">
      <w:pPr>
        <w:pStyle w:val="Caption"/>
        <w:jc w:val="center"/>
      </w:pPr>
      <w:bookmarkStart w:id="14" w:name="_Ref525033836"/>
      <w:r>
        <w:t xml:space="preserve">Figure </w:t>
      </w:r>
      <w:r>
        <w:fldChar w:fldCharType="begin"/>
      </w:r>
      <w:r>
        <w:instrText xml:space="preserve"> SEQ Figure \* ARABIC </w:instrText>
      </w:r>
      <w:r>
        <w:fldChar w:fldCharType="separate"/>
      </w:r>
      <w:r w:rsidR="00654D35">
        <w:rPr>
          <w:noProof/>
        </w:rPr>
        <w:t>2</w:t>
      </w:r>
      <w:r>
        <w:fldChar w:fldCharType="end"/>
      </w:r>
      <w:bookmarkEnd w:id="14"/>
      <w:r>
        <w:t>: UE-assisted</w:t>
      </w:r>
      <w:r w:rsidR="00C50067">
        <w:t xml:space="preserve"> resource allocation</w:t>
      </w:r>
    </w:p>
    <w:p w14:paraId="1F277CC2" w14:textId="2539543A" w:rsidR="00C50067" w:rsidRDefault="00C50067" w:rsidP="000E2F45">
      <w:pPr>
        <w:spacing w:after="240"/>
        <w:rPr>
          <w:lang w:val="en-GB" w:eastAsia="en-US"/>
        </w:rPr>
      </w:pPr>
      <w:r>
        <w:rPr>
          <w:lang w:val="en-GB" w:eastAsia="en-US"/>
        </w:rPr>
        <w:t xml:space="preserve">The benefit over the baseline approach would be the ability to avoid collisions between UEs listening to the same scheduler—e.g., if the group leader handles scheduling within a pool for the group, it can de-conflict </w:t>
      </w:r>
      <w:r>
        <w:rPr>
          <w:lang w:val="en-GB" w:eastAsia="en-US"/>
        </w:rPr>
        <w:lastRenderedPageBreak/>
        <w:t>grants for UEs within the group.  The result is an improvement in reliability and in average latency (due to no need for retransmissions after a collision) compared to the baseline approach.</w:t>
      </w:r>
    </w:p>
    <w:p w14:paraId="65454487" w14:textId="1847E619" w:rsidR="00706AF1" w:rsidRDefault="00706AF1" w:rsidP="000E2F45">
      <w:pPr>
        <w:spacing w:after="240"/>
        <w:rPr>
          <w:lang w:val="en-GB" w:eastAsia="en-US"/>
        </w:rPr>
      </w:pPr>
      <w:r>
        <w:rPr>
          <w:lang w:val="en-GB" w:eastAsia="en-US"/>
        </w:rPr>
        <w:t>The RAN1 ad-hoc conclusions appear consistent with such an approach.  However, RAN1 did decide that “higher layer” (i.e. above PHY) signalling is used between the scheduling UE and the scheduled UE, meaning that the grant in step 3 could be similar to a type 1 configured grant, but would not be a dynamically scheduled grant conveyed on SCI.</w:t>
      </w:r>
    </w:p>
    <w:p w14:paraId="195317F0" w14:textId="1AEB9E0A" w:rsidR="00F8540F" w:rsidRPr="00F8540F" w:rsidRDefault="00F8540F" w:rsidP="000E2F45">
      <w:pPr>
        <w:spacing w:after="240"/>
        <w:rPr>
          <w:lang w:val="en-GB" w:eastAsia="en-US"/>
        </w:rPr>
      </w:pPr>
      <w:r>
        <w:rPr>
          <w:b/>
          <w:lang w:val="en-GB" w:eastAsia="en-US"/>
        </w:rPr>
        <w:t>Proposal 3:</w:t>
      </w:r>
      <w:r>
        <w:rPr>
          <w:lang w:val="en-GB" w:eastAsia="en-US"/>
        </w:rPr>
        <w:t xml:space="preserve"> Consider supporting a UE-assisted approach in which the scheduling UE receives a </w:t>
      </w:r>
      <w:proofErr w:type="spellStart"/>
      <w:r>
        <w:rPr>
          <w:lang w:val="en-GB" w:eastAsia="en-US"/>
        </w:rPr>
        <w:t>sidelink</w:t>
      </w:r>
      <w:proofErr w:type="spellEnd"/>
      <w:r>
        <w:rPr>
          <w:lang w:val="en-GB" w:eastAsia="en-US"/>
        </w:rPr>
        <w:t xml:space="preserve"> BSR sent by the scheduled UE, and responds with a </w:t>
      </w:r>
      <w:proofErr w:type="spellStart"/>
      <w:r>
        <w:rPr>
          <w:lang w:val="en-GB" w:eastAsia="en-US"/>
        </w:rPr>
        <w:t>sidelink</w:t>
      </w:r>
      <w:proofErr w:type="spellEnd"/>
      <w:r>
        <w:rPr>
          <w:lang w:val="en-GB" w:eastAsia="en-US"/>
        </w:rPr>
        <w:t xml:space="preserve"> grant of resources drawn from a configured pool or grant.</w:t>
      </w:r>
    </w:p>
    <w:p w14:paraId="69F7DC77" w14:textId="474CDF52" w:rsidR="000E2F45" w:rsidRDefault="000E2F45" w:rsidP="000E2F45">
      <w:pPr>
        <w:spacing w:after="240"/>
        <w:rPr>
          <w:lang w:val="en-GB" w:eastAsia="en-US"/>
        </w:rPr>
      </w:pPr>
      <w:r>
        <w:rPr>
          <w:lang w:val="en-GB" w:eastAsia="en-US"/>
        </w:rPr>
        <w:t xml:space="preserve">The specification impact of this approach is fairly </w:t>
      </w:r>
      <w:r w:rsidR="00F8540F">
        <w:rPr>
          <w:lang w:val="en-GB" w:eastAsia="en-US"/>
        </w:rPr>
        <w:t>confined</w:t>
      </w:r>
      <w:r>
        <w:rPr>
          <w:lang w:val="en-GB" w:eastAsia="en-US"/>
        </w:rPr>
        <w:t xml:space="preserve">; assuming the </w:t>
      </w:r>
      <w:proofErr w:type="spellStart"/>
      <w:r>
        <w:rPr>
          <w:lang w:val="en-GB" w:eastAsia="en-US"/>
        </w:rPr>
        <w:t>Uu</w:t>
      </w:r>
      <w:proofErr w:type="spellEnd"/>
      <w:r>
        <w:rPr>
          <w:lang w:val="en-GB" w:eastAsia="en-US"/>
        </w:rPr>
        <w:t xml:space="preserve">-RRC signalling in step 1 already exists (for granting resources to the scheduling UE itself), there might be modest impact to that signalling to indicate that the resources can be re-granted to the scheduled UE.  Beyond this, the impact is just to specify the </w:t>
      </w:r>
      <w:proofErr w:type="spellStart"/>
      <w:r>
        <w:rPr>
          <w:lang w:val="en-GB" w:eastAsia="en-US"/>
        </w:rPr>
        <w:t>sidelink</w:t>
      </w:r>
      <w:proofErr w:type="spellEnd"/>
      <w:r>
        <w:rPr>
          <w:lang w:val="en-GB" w:eastAsia="en-US"/>
        </w:rPr>
        <w:t xml:space="preserve"> signalling for the </w:t>
      </w:r>
      <w:proofErr w:type="spellStart"/>
      <w:r>
        <w:rPr>
          <w:lang w:val="en-GB" w:eastAsia="en-US"/>
        </w:rPr>
        <w:t>sidelink</w:t>
      </w:r>
      <w:proofErr w:type="spellEnd"/>
      <w:r>
        <w:rPr>
          <w:lang w:val="en-GB" w:eastAsia="en-US"/>
        </w:rPr>
        <w:t xml:space="preserve"> BSR and resource grant.  It seems reasonable that the BSR would be sent by MAC signalling, </w:t>
      </w:r>
      <w:r w:rsidR="00DA08A2">
        <w:rPr>
          <w:lang w:val="en-GB" w:eastAsia="en-US"/>
        </w:rPr>
        <w:t xml:space="preserve">the same </w:t>
      </w:r>
      <w:r>
        <w:rPr>
          <w:lang w:val="en-GB" w:eastAsia="en-US"/>
        </w:rPr>
        <w:t xml:space="preserve">as it is on </w:t>
      </w:r>
      <w:proofErr w:type="spellStart"/>
      <w:r>
        <w:rPr>
          <w:lang w:val="en-GB" w:eastAsia="en-US"/>
        </w:rPr>
        <w:t>Uu</w:t>
      </w:r>
      <w:proofErr w:type="spellEnd"/>
      <w:r w:rsidR="00F8540F">
        <w:rPr>
          <w:lang w:val="en-GB" w:eastAsia="en-US"/>
        </w:rPr>
        <w:t xml:space="preserve">.  If the grant follows the model of the type 1 configured grant on </w:t>
      </w:r>
      <w:proofErr w:type="spellStart"/>
      <w:r w:rsidR="00F8540F">
        <w:rPr>
          <w:lang w:val="en-GB" w:eastAsia="en-US"/>
        </w:rPr>
        <w:t>Uu</w:t>
      </w:r>
      <w:proofErr w:type="spellEnd"/>
      <w:r w:rsidR="00F8540F">
        <w:rPr>
          <w:lang w:val="en-GB" w:eastAsia="en-US"/>
        </w:rPr>
        <w:t>, it would use RRC signalling, but in principle it could also be designed to use MAC signalling.</w:t>
      </w:r>
    </w:p>
    <w:p w14:paraId="14FAFF95" w14:textId="7B5A7ECC" w:rsidR="000E2F45" w:rsidRDefault="00C50067" w:rsidP="000E2F45">
      <w:pPr>
        <w:spacing w:after="240"/>
        <w:rPr>
          <w:lang w:val="en-GB" w:eastAsia="en-US"/>
        </w:rPr>
      </w:pPr>
      <w:r>
        <w:rPr>
          <w:b/>
          <w:lang w:val="en-GB" w:eastAsia="en-US"/>
        </w:rPr>
        <w:t>Proposal 4</w:t>
      </w:r>
      <w:r w:rsidR="000E2F45">
        <w:rPr>
          <w:b/>
          <w:lang w:val="en-GB" w:eastAsia="en-US"/>
        </w:rPr>
        <w:t>:</w:t>
      </w:r>
      <w:r w:rsidR="00563220">
        <w:rPr>
          <w:lang w:val="en-GB" w:eastAsia="en-US"/>
        </w:rPr>
        <w:t xml:space="preserve"> The </w:t>
      </w:r>
      <w:proofErr w:type="spellStart"/>
      <w:r w:rsidR="00563220">
        <w:rPr>
          <w:lang w:val="en-GB" w:eastAsia="en-US"/>
        </w:rPr>
        <w:t>sidelink</w:t>
      </w:r>
      <w:proofErr w:type="spellEnd"/>
      <w:r w:rsidR="00563220">
        <w:rPr>
          <w:lang w:val="en-GB" w:eastAsia="en-US"/>
        </w:rPr>
        <w:t xml:space="preserve"> BSR in the UE-assisted case</w:t>
      </w:r>
      <w:r w:rsidR="00144E91">
        <w:rPr>
          <w:lang w:val="en-GB" w:eastAsia="en-US"/>
        </w:rPr>
        <w:t xml:space="preserve"> </w:t>
      </w:r>
      <w:r w:rsidR="000E2F45">
        <w:rPr>
          <w:lang w:val="en-GB" w:eastAsia="en-US"/>
        </w:rPr>
        <w:t xml:space="preserve">uses MAC signalling on the </w:t>
      </w:r>
      <w:proofErr w:type="spellStart"/>
      <w:r w:rsidR="000E2F45">
        <w:rPr>
          <w:lang w:val="en-GB" w:eastAsia="en-US"/>
        </w:rPr>
        <w:t>sidelink</w:t>
      </w:r>
      <w:proofErr w:type="spellEnd"/>
      <w:r w:rsidR="000E2F45">
        <w:rPr>
          <w:lang w:val="en-GB" w:eastAsia="en-US"/>
        </w:rPr>
        <w:t xml:space="preserve">; the signalling layer for the </w:t>
      </w:r>
      <w:proofErr w:type="spellStart"/>
      <w:r w:rsidR="000E2F45">
        <w:rPr>
          <w:lang w:val="en-GB" w:eastAsia="en-US"/>
        </w:rPr>
        <w:t>sidelink</w:t>
      </w:r>
      <w:proofErr w:type="spellEnd"/>
      <w:r w:rsidR="000E2F45">
        <w:rPr>
          <w:lang w:val="en-GB" w:eastAsia="en-US"/>
        </w:rPr>
        <w:t xml:space="preserve"> grant is FFS</w:t>
      </w:r>
      <w:r w:rsidR="00F8540F">
        <w:rPr>
          <w:lang w:val="en-GB" w:eastAsia="en-US"/>
        </w:rPr>
        <w:t xml:space="preserve"> (RRC or MAC)</w:t>
      </w:r>
      <w:r w:rsidR="000E2F45">
        <w:rPr>
          <w:lang w:val="en-GB" w:eastAsia="en-US"/>
        </w:rPr>
        <w:t>.</w:t>
      </w:r>
    </w:p>
    <w:p w14:paraId="03CCE49E" w14:textId="1B1D3918" w:rsidR="000E2F45" w:rsidRPr="000E2F45" w:rsidRDefault="000E2F45" w:rsidP="000E2F45">
      <w:pPr>
        <w:spacing w:after="240"/>
        <w:rPr>
          <w:lang w:val="en-GB" w:eastAsia="en-US"/>
        </w:rPr>
      </w:pPr>
      <w:r>
        <w:rPr>
          <w:lang w:val="en-GB" w:eastAsia="en-US"/>
        </w:rPr>
        <w:t xml:space="preserve">The delivery of the </w:t>
      </w:r>
      <w:proofErr w:type="spellStart"/>
      <w:r>
        <w:rPr>
          <w:lang w:val="en-GB" w:eastAsia="en-US"/>
        </w:rPr>
        <w:t>sidelink</w:t>
      </w:r>
      <w:proofErr w:type="spellEnd"/>
      <w:r>
        <w:rPr>
          <w:lang w:val="en-GB" w:eastAsia="en-US"/>
        </w:rPr>
        <w:t xml:space="preserve"> BSR in step 2 requires some consideration; this is discussed </w:t>
      </w:r>
      <w:r w:rsidR="00C50067">
        <w:rPr>
          <w:lang w:val="en-GB" w:eastAsia="en-US"/>
        </w:rPr>
        <w:t>in the next section</w:t>
      </w:r>
      <w:r>
        <w:rPr>
          <w:lang w:val="en-GB" w:eastAsia="en-US"/>
        </w:rPr>
        <w:t>.</w:t>
      </w:r>
    </w:p>
    <w:p w14:paraId="6473915B" w14:textId="7E6B8408" w:rsidR="00BE23C6" w:rsidRDefault="00BE23C6" w:rsidP="00BE23C6">
      <w:pPr>
        <w:spacing w:after="240"/>
        <w:rPr>
          <w:lang w:val="en-GB" w:eastAsia="en-US"/>
        </w:rPr>
      </w:pPr>
      <w:r>
        <w:rPr>
          <w:lang w:val="en-GB" w:eastAsia="en-US"/>
        </w:rPr>
        <w:t>In addition</w:t>
      </w:r>
      <w:r w:rsidR="000E2F45">
        <w:rPr>
          <w:lang w:val="en-GB" w:eastAsia="en-US"/>
        </w:rPr>
        <w:t xml:space="preserve"> to the partial-coverage case</w:t>
      </w:r>
      <w:r>
        <w:rPr>
          <w:lang w:val="en-GB" w:eastAsia="en-US"/>
        </w:rPr>
        <w:t xml:space="preserve">, </w:t>
      </w:r>
      <w:r w:rsidR="00C50067">
        <w:rPr>
          <w:lang w:val="en-GB" w:eastAsia="en-US"/>
        </w:rPr>
        <w:t xml:space="preserve">this </w:t>
      </w:r>
      <w:r>
        <w:rPr>
          <w:lang w:val="en-GB" w:eastAsia="en-US"/>
        </w:rPr>
        <w:t xml:space="preserve">approach can be used for the out-of-coverage use case, provided the </w:t>
      </w:r>
      <w:r w:rsidR="000E2F45">
        <w:rPr>
          <w:lang w:val="en-GB" w:eastAsia="en-US"/>
        </w:rPr>
        <w:t>scheduling</w:t>
      </w:r>
      <w:r>
        <w:rPr>
          <w:lang w:val="en-GB" w:eastAsia="en-US"/>
        </w:rPr>
        <w:t xml:space="preserve"> UE has some way to obtain its initial grant, e.g. by </w:t>
      </w:r>
      <w:proofErr w:type="spellStart"/>
      <w:r w:rsidR="00563220">
        <w:rPr>
          <w:lang w:val="en-GB" w:eastAsia="en-US"/>
        </w:rPr>
        <w:t>preconfiguration</w:t>
      </w:r>
      <w:proofErr w:type="spellEnd"/>
      <w:r w:rsidR="00563220">
        <w:rPr>
          <w:lang w:val="en-GB" w:eastAsia="en-US"/>
        </w:rPr>
        <w:t xml:space="preserve">, or </w:t>
      </w:r>
      <w:r>
        <w:rPr>
          <w:lang w:val="en-GB" w:eastAsia="en-US"/>
        </w:rPr>
        <w:t>an autonomous resource reservation scheme (</w:t>
      </w:r>
      <w:r w:rsidR="000E2F45">
        <w:rPr>
          <w:lang w:val="en-GB" w:eastAsia="en-US"/>
        </w:rPr>
        <w:t>under allocation mode</w:t>
      </w:r>
      <w:r>
        <w:rPr>
          <w:lang w:val="en-GB" w:eastAsia="en-US"/>
        </w:rPr>
        <w:t xml:space="preserve"> 2</w:t>
      </w:r>
      <w:r w:rsidR="001F314B">
        <w:rPr>
          <w:lang w:val="en-GB" w:eastAsia="en-US"/>
        </w:rPr>
        <w:t>(a)</w:t>
      </w:r>
      <w:r>
        <w:rPr>
          <w:lang w:val="en-GB" w:eastAsia="en-US"/>
        </w:rPr>
        <w:t xml:space="preserve">).  This could be especially applicable if the </w:t>
      </w:r>
      <w:r w:rsidR="000E2F45">
        <w:rPr>
          <w:lang w:val="en-GB" w:eastAsia="en-US"/>
        </w:rPr>
        <w:t>scheduling</w:t>
      </w:r>
      <w:r>
        <w:rPr>
          <w:lang w:val="en-GB" w:eastAsia="en-US"/>
        </w:rPr>
        <w:t xml:space="preserve"> UE is an RSU which effectively has the job of providing coverage for the area</w:t>
      </w:r>
      <w:r w:rsidR="00D87764">
        <w:rPr>
          <w:lang w:val="en-GB" w:eastAsia="en-US"/>
        </w:rPr>
        <w:t xml:space="preserve"> for V2X applications</w:t>
      </w:r>
      <w:r>
        <w:rPr>
          <w:lang w:val="en-GB" w:eastAsia="en-US"/>
        </w:rPr>
        <w:t>.</w:t>
      </w:r>
    </w:p>
    <w:p w14:paraId="672E0A21" w14:textId="199AC854" w:rsidR="00E65F07" w:rsidRDefault="000E2F45" w:rsidP="000E2F45">
      <w:pPr>
        <w:spacing w:after="240"/>
        <w:rPr>
          <w:lang w:val="en-GB" w:eastAsia="en-US"/>
        </w:rPr>
      </w:pPr>
      <w:r>
        <w:rPr>
          <w:lang w:val="en-GB" w:eastAsia="en-US"/>
        </w:rPr>
        <w:t>It can be further considered whether the “pool or grant” in step 1 should be a resource pool shared among multiple scheduling UEs or an exclusive grant for a specific scheduling UE</w:t>
      </w:r>
      <w:r w:rsidR="005329D8">
        <w:rPr>
          <w:lang w:val="en-GB" w:eastAsia="en-US"/>
        </w:rPr>
        <w:t>, e.g. a configured grant</w:t>
      </w:r>
      <w:r>
        <w:rPr>
          <w:lang w:val="en-GB" w:eastAsia="en-US"/>
        </w:rPr>
        <w:t xml:space="preserve">.  If a resource pool is used, the scheduling UEs could prevent collisions between their own scheduled UEs, but there could be </w:t>
      </w:r>
      <w:r w:rsidR="00E65F07">
        <w:rPr>
          <w:lang w:val="en-GB" w:eastAsia="en-US"/>
        </w:rPr>
        <w:t xml:space="preserve">collisions between grants from two different </w:t>
      </w:r>
      <w:r>
        <w:rPr>
          <w:lang w:val="en-GB" w:eastAsia="en-US"/>
        </w:rPr>
        <w:t>scheduling</w:t>
      </w:r>
      <w:r w:rsidR="00E65F07">
        <w:rPr>
          <w:lang w:val="en-GB" w:eastAsia="en-US"/>
        </w:rPr>
        <w:t xml:space="preserve"> UEs—for example, if two platoons meet on the road, the platoon leaders may be scheduling their members for communication in the same resource pool, resulting in the potential for collision.  However, </w:t>
      </w:r>
      <w:r w:rsidR="00B94CDC">
        <w:rPr>
          <w:lang w:val="en-GB" w:eastAsia="en-US"/>
        </w:rPr>
        <w:t xml:space="preserve">the </w:t>
      </w:r>
      <w:proofErr w:type="spellStart"/>
      <w:r w:rsidR="00B94CDC">
        <w:rPr>
          <w:lang w:val="en-GB" w:eastAsia="en-US"/>
        </w:rPr>
        <w:t>gNB</w:t>
      </w:r>
      <w:proofErr w:type="spellEnd"/>
      <w:r w:rsidR="00B94CDC">
        <w:rPr>
          <w:lang w:val="en-GB" w:eastAsia="en-US"/>
        </w:rPr>
        <w:t xml:space="preserve"> allocating resource pools to the scheduling UEs may be able to prevent this scenario, and the </w:t>
      </w:r>
      <w:r w:rsidR="00E65F07">
        <w:rPr>
          <w:lang w:val="en-GB" w:eastAsia="en-US"/>
        </w:rPr>
        <w:t xml:space="preserve">problem </w:t>
      </w:r>
      <w:r w:rsidR="00B94CDC">
        <w:rPr>
          <w:lang w:val="en-GB" w:eastAsia="en-US"/>
        </w:rPr>
        <w:t xml:space="preserve">may not exist </w:t>
      </w:r>
      <w:r w:rsidR="00E65F07">
        <w:rPr>
          <w:lang w:val="en-GB" w:eastAsia="en-US"/>
        </w:rPr>
        <w:t xml:space="preserve">for other deployment cases such as when the </w:t>
      </w:r>
      <w:r>
        <w:rPr>
          <w:lang w:val="en-GB" w:eastAsia="en-US"/>
        </w:rPr>
        <w:t>scheduling</w:t>
      </w:r>
      <w:r w:rsidR="00E65F07">
        <w:rPr>
          <w:lang w:val="en-GB" w:eastAsia="en-US"/>
        </w:rPr>
        <w:t xml:space="preserve"> UEs are RSUs.</w:t>
      </w:r>
    </w:p>
    <w:p w14:paraId="6082DA6D" w14:textId="1AEFBED9" w:rsidR="00E65F07" w:rsidRPr="00E65F07" w:rsidRDefault="00E65F07" w:rsidP="00BE23C6">
      <w:pPr>
        <w:spacing w:after="240"/>
        <w:rPr>
          <w:lang w:val="en-GB" w:eastAsia="en-US"/>
        </w:rPr>
      </w:pPr>
      <w:r>
        <w:rPr>
          <w:b/>
          <w:lang w:val="en-GB" w:eastAsia="en-US"/>
        </w:rPr>
        <w:t xml:space="preserve">Proposal </w:t>
      </w:r>
      <w:r w:rsidR="00C50067">
        <w:rPr>
          <w:b/>
          <w:lang w:val="en-GB" w:eastAsia="en-US"/>
        </w:rPr>
        <w:t>5</w:t>
      </w:r>
      <w:r>
        <w:rPr>
          <w:b/>
          <w:lang w:val="en-GB" w:eastAsia="en-US"/>
        </w:rPr>
        <w:t>:</w:t>
      </w:r>
      <w:r>
        <w:rPr>
          <w:lang w:val="en-GB" w:eastAsia="en-US"/>
        </w:rPr>
        <w:t xml:space="preserve"> </w:t>
      </w:r>
      <w:r w:rsidR="000E2F45">
        <w:rPr>
          <w:lang w:val="en-GB" w:eastAsia="en-US"/>
        </w:rPr>
        <w:t>It is FFS whether the “pool or grant” should be a common pool or an exclusive grant for the scheduling UE</w:t>
      </w:r>
      <w:r>
        <w:rPr>
          <w:lang w:val="en-GB" w:eastAsia="en-US"/>
        </w:rPr>
        <w:t>.</w:t>
      </w:r>
    </w:p>
    <w:p w14:paraId="1CE5B4DF" w14:textId="22F382C1" w:rsidR="005329D8" w:rsidRDefault="005329D8" w:rsidP="005329D8">
      <w:pPr>
        <w:spacing w:after="240"/>
        <w:rPr>
          <w:lang w:val="en-GB" w:eastAsia="en-US"/>
        </w:rPr>
      </w:pPr>
      <w:r>
        <w:rPr>
          <w:lang w:val="en-GB" w:eastAsia="en-US"/>
        </w:rPr>
        <w:t xml:space="preserve">In the RAN1 terminology, if a resource pool is used, the resource allocation mechanism combines mode 2(d) with mode 2(a) (autonomous resource selection by the scheduling UE within the resource pool); if a configured grant is used, it combines mode 2(d) with mode 2(c) (configured grant to the scheduling UE).  In either case, the specification impact is limited, since existing allocation modes are used between the </w:t>
      </w:r>
      <w:proofErr w:type="spellStart"/>
      <w:r>
        <w:rPr>
          <w:lang w:val="en-GB" w:eastAsia="en-US"/>
        </w:rPr>
        <w:t>gNB</w:t>
      </w:r>
      <w:proofErr w:type="spellEnd"/>
      <w:r>
        <w:rPr>
          <w:lang w:val="en-GB" w:eastAsia="en-US"/>
        </w:rPr>
        <w:t xml:space="preserve"> and the scheduling UE—the main impact is to specify the signalling between the scheduling UE and the scheduled UE.</w:t>
      </w:r>
    </w:p>
    <w:p w14:paraId="7A795755" w14:textId="69D5F361" w:rsidR="000F4057" w:rsidRPr="000F4057" w:rsidRDefault="000F4057" w:rsidP="005329D8">
      <w:pPr>
        <w:spacing w:after="240"/>
        <w:rPr>
          <w:lang w:val="en-GB" w:eastAsia="en-US"/>
        </w:rPr>
      </w:pPr>
      <w:r>
        <w:rPr>
          <w:b/>
          <w:lang w:val="en-GB" w:eastAsia="en-US"/>
        </w:rPr>
        <w:t>Proposal 6:</w:t>
      </w:r>
      <w:r>
        <w:rPr>
          <w:lang w:val="en-GB" w:eastAsia="en-US"/>
        </w:rPr>
        <w:t xml:space="preserve"> UE-assisted scheduling can be supported by joint operation of mode 2(a) or 2(c) (between the </w:t>
      </w:r>
      <w:proofErr w:type="spellStart"/>
      <w:r>
        <w:rPr>
          <w:lang w:val="en-GB" w:eastAsia="en-US"/>
        </w:rPr>
        <w:t>gNB</w:t>
      </w:r>
      <w:proofErr w:type="spellEnd"/>
      <w:r>
        <w:rPr>
          <w:lang w:val="en-GB" w:eastAsia="en-US"/>
        </w:rPr>
        <w:t xml:space="preserve"> and the scheduling UE) with mode 2(d).</w:t>
      </w:r>
    </w:p>
    <w:p w14:paraId="08192C00" w14:textId="7E49023A" w:rsidR="005C28B4" w:rsidRDefault="000E2F45" w:rsidP="005C28B4">
      <w:pPr>
        <w:pStyle w:val="Heading2"/>
      </w:pPr>
      <w:r>
        <w:lastRenderedPageBreak/>
        <w:t xml:space="preserve">Delivery of </w:t>
      </w:r>
      <w:proofErr w:type="spellStart"/>
      <w:r>
        <w:t>sidelink</w:t>
      </w:r>
      <w:proofErr w:type="spellEnd"/>
      <w:r>
        <w:t xml:space="preserve"> BSR</w:t>
      </w:r>
    </w:p>
    <w:p w14:paraId="209E41AF" w14:textId="04FB5D7F" w:rsidR="00D87764" w:rsidRDefault="00144E91" w:rsidP="005C28B4">
      <w:pPr>
        <w:spacing w:after="240"/>
        <w:rPr>
          <w:lang w:val="en-GB" w:eastAsia="en-US"/>
        </w:rPr>
      </w:pPr>
      <w:r>
        <w:rPr>
          <w:lang w:val="en-GB" w:eastAsia="en-US"/>
        </w:rPr>
        <w:t xml:space="preserve">In </w:t>
      </w:r>
      <w:r w:rsidR="00C50067">
        <w:rPr>
          <w:lang w:val="en-GB" w:eastAsia="en-US"/>
        </w:rPr>
        <w:t>the UE-assisted approach described above</w:t>
      </w:r>
      <w:r>
        <w:rPr>
          <w:lang w:val="en-GB" w:eastAsia="en-US"/>
        </w:rPr>
        <w:t xml:space="preserve">, the scheduled UE needs to send a </w:t>
      </w:r>
      <w:proofErr w:type="spellStart"/>
      <w:r>
        <w:rPr>
          <w:lang w:val="en-GB" w:eastAsia="en-US"/>
        </w:rPr>
        <w:t>sidelink</w:t>
      </w:r>
      <w:proofErr w:type="spellEnd"/>
      <w:r>
        <w:rPr>
          <w:lang w:val="en-GB" w:eastAsia="en-US"/>
        </w:rPr>
        <w:t xml:space="preserve"> BSR to the scheduling UE, which means it needs to use </w:t>
      </w:r>
      <w:proofErr w:type="spellStart"/>
      <w:r>
        <w:rPr>
          <w:lang w:val="en-GB" w:eastAsia="en-US"/>
        </w:rPr>
        <w:t>sidelink</w:t>
      </w:r>
      <w:proofErr w:type="spellEnd"/>
      <w:r>
        <w:rPr>
          <w:lang w:val="en-GB" w:eastAsia="en-US"/>
        </w:rPr>
        <w:t xml:space="preserve"> resources</w:t>
      </w:r>
      <w:r w:rsidR="000D012C">
        <w:rPr>
          <w:lang w:val="en-GB" w:eastAsia="en-US"/>
        </w:rPr>
        <w:t xml:space="preserve"> before receiving a </w:t>
      </w:r>
      <w:proofErr w:type="spellStart"/>
      <w:r w:rsidR="000D012C">
        <w:rPr>
          <w:lang w:val="en-GB" w:eastAsia="en-US"/>
        </w:rPr>
        <w:t>sidelink</w:t>
      </w:r>
      <w:proofErr w:type="spellEnd"/>
      <w:r w:rsidR="000D012C">
        <w:rPr>
          <w:lang w:val="en-GB" w:eastAsia="en-US"/>
        </w:rPr>
        <w:t xml:space="preserve"> grant</w:t>
      </w:r>
      <w:r>
        <w:rPr>
          <w:lang w:val="en-GB" w:eastAsia="en-US"/>
        </w:rPr>
        <w:t xml:space="preserve">.  One way to resolve this would be to follow the </w:t>
      </w:r>
      <w:proofErr w:type="spellStart"/>
      <w:r>
        <w:rPr>
          <w:lang w:val="en-GB" w:eastAsia="en-US"/>
        </w:rPr>
        <w:t>Uu</w:t>
      </w:r>
      <w:proofErr w:type="spellEnd"/>
      <w:r>
        <w:rPr>
          <w:lang w:val="en-GB" w:eastAsia="en-US"/>
        </w:rPr>
        <w:t xml:space="preserve"> model and send a scheduling request first in reserved radio resources.  However, the </w:t>
      </w:r>
      <w:proofErr w:type="spellStart"/>
      <w:r>
        <w:rPr>
          <w:lang w:val="en-GB" w:eastAsia="en-US"/>
        </w:rPr>
        <w:t>sidelink</w:t>
      </w:r>
      <w:proofErr w:type="spellEnd"/>
      <w:r>
        <w:rPr>
          <w:lang w:val="en-GB" w:eastAsia="en-US"/>
        </w:rPr>
        <w:t xml:space="preserve"> offers an alternative that is not available on the </w:t>
      </w:r>
      <w:proofErr w:type="spellStart"/>
      <w:r>
        <w:rPr>
          <w:lang w:val="en-GB" w:eastAsia="en-US"/>
        </w:rPr>
        <w:t>Uu</w:t>
      </w:r>
      <w:proofErr w:type="spellEnd"/>
      <w:r w:rsidR="002136F4">
        <w:rPr>
          <w:lang w:val="en-GB" w:eastAsia="en-US"/>
        </w:rPr>
        <w:t xml:space="preserve"> interface</w:t>
      </w:r>
      <w:r>
        <w:rPr>
          <w:lang w:val="en-GB" w:eastAsia="en-US"/>
        </w:rPr>
        <w:t>: using a preconfigured resource pool with allocation mode 2</w:t>
      </w:r>
      <w:r w:rsidR="001F314B">
        <w:rPr>
          <w:lang w:val="en-GB" w:eastAsia="en-US"/>
        </w:rPr>
        <w:t>(a)</w:t>
      </w:r>
      <w:r w:rsidR="00FE4E8A">
        <w:rPr>
          <w:lang w:val="en-GB" w:eastAsia="en-US"/>
        </w:rPr>
        <w:t xml:space="preserve"> or using a preconfigured resource pattern with configured grant mode 2(c)</w:t>
      </w:r>
      <w:r>
        <w:rPr>
          <w:lang w:val="en-GB" w:eastAsia="en-US"/>
        </w:rPr>
        <w:t>.</w:t>
      </w:r>
    </w:p>
    <w:p w14:paraId="58E4DE33" w14:textId="4398C00D" w:rsidR="00144E91" w:rsidRDefault="00144E91" w:rsidP="005C28B4">
      <w:pPr>
        <w:spacing w:after="240"/>
        <w:rPr>
          <w:lang w:val="en-GB" w:eastAsia="en-US"/>
        </w:rPr>
      </w:pPr>
      <w:r>
        <w:rPr>
          <w:lang w:val="en-GB" w:eastAsia="en-US"/>
        </w:rPr>
        <w:t xml:space="preserve">Introducing a </w:t>
      </w:r>
      <w:proofErr w:type="spellStart"/>
      <w:r>
        <w:rPr>
          <w:lang w:val="en-GB" w:eastAsia="en-US"/>
        </w:rPr>
        <w:t>sidelink</w:t>
      </w:r>
      <w:proofErr w:type="spellEnd"/>
      <w:r>
        <w:rPr>
          <w:lang w:val="en-GB" w:eastAsia="en-US"/>
        </w:rPr>
        <w:t xml:space="preserve"> scheduling request would add a MAC procedure as well as potentially impacting RAN1 (to reserve radio resources for the </w:t>
      </w:r>
      <w:r w:rsidR="000D012C">
        <w:rPr>
          <w:lang w:val="en-GB" w:eastAsia="en-US"/>
        </w:rPr>
        <w:t>SL-</w:t>
      </w:r>
      <w:r>
        <w:rPr>
          <w:lang w:val="en-GB" w:eastAsia="en-US"/>
        </w:rPr>
        <w:t xml:space="preserve">SR in the </w:t>
      </w:r>
      <w:proofErr w:type="spellStart"/>
      <w:r>
        <w:rPr>
          <w:lang w:val="en-GB" w:eastAsia="en-US"/>
        </w:rPr>
        <w:t>sidelink</w:t>
      </w:r>
      <w:proofErr w:type="spellEnd"/>
      <w:r>
        <w:rPr>
          <w:lang w:val="en-GB" w:eastAsia="en-US"/>
        </w:rPr>
        <w:t xml:space="preserve"> design).  The specification impact seems lower if the SL-BSR is sent using allocation mode 2</w:t>
      </w:r>
      <w:r w:rsidR="001F314B">
        <w:rPr>
          <w:lang w:val="en-GB" w:eastAsia="en-US"/>
        </w:rPr>
        <w:t>(a)</w:t>
      </w:r>
      <w:r>
        <w:rPr>
          <w:lang w:val="en-GB" w:eastAsia="en-US"/>
        </w:rPr>
        <w:t>.</w:t>
      </w:r>
      <w:r w:rsidR="004D4950">
        <w:rPr>
          <w:lang w:val="en-GB" w:eastAsia="en-US"/>
        </w:rPr>
        <w:t xml:space="preserve">  We thus propose to take the second approach.</w:t>
      </w:r>
    </w:p>
    <w:p w14:paraId="2F605B20" w14:textId="62040AF1" w:rsidR="00144E91" w:rsidRDefault="00C50067" w:rsidP="005C28B4">
      <w:pPr>
        <w:spacing w:after="240"/>
        <w:rPr>
          <w:lang w:val="en-GB" w:eastAsia="en-US"/>
        </w:rPr>
      </w:pPr>
      <w:r>
        <w:rPr>
          <w:b/>
          <w:lang w:val="en-GB" w:eastAsia="en-US"/>
        </w:rPr>
        <w:t xml:space="preserve">Proposal </w:t>
      </w:r>
      <w:r w:rsidR="000F4057">
        <w:rPr>
          <w:b/>
          <w:lang w:val="en-GB" w:eastAsia="en-US"/>
        </w:rPr>
        <w:t>7</w:t>
      </w:r>
      <w:r w:rsidR="00144E91">
        <w:rPr>
          <w:b/>
          <w:lang w:val="en-GB" w:eastAsia="en-US"/>
        </w:rPr>
        <w:t>:</w:t>
      </w:r>
      <w:r w:rsidR="00144E91">
        <w:rPr>
          <w:lang w:val="en-GB" w:eastAsia="en-US"/>
        </w:rPr>
        <w:t xml:space="preserve"> To send a </w:t>
      </w:r>
      <w:proofErr w:type="spellStart"/>
      <w:r w:rsidR="00144E91">
        <w:rPr>
          <w:lang w:val="en-GB" w:eastAsia="en-US"/>
        </w:rPr>
        <w:t>sidelink</w:t>
      </w:r>
      <w:proofErr w:type="spellEnd"/>
      <w:r w:rsidR="00144E91">
        <w:rPr>
          <w:lang w:val="en-GB" w:eastAsia="en-US"/>
        </w:rPr>
        <w:t xml:space="preserve"> BSR on </w:t>
      </w:r>
      <w:proofErr w:type="spellStart"/>
      <w:r w:rsidR="00144E91">
        <w:rPr>
          <w:lang w:val="en-GB" w:eastAsia="en-US"/>
        </w:rPr>
        <w:t>sidelink</w:t>
      </w:r>
      <w:proofErr w:type="spellEnd"/>
      <w:r w:rsidR="00144E91">
        <w:rPr>
          <w:lang w:val="en-GB" w:eastAsia="en-US"/>
        </w:rPr>
        <w:t>, the scheduled UE uses allocation mode 2</w:t>
      </w:r>
      <w:r w:rsidR="001F314B">
        <w:rPr>
          <w:lang w:val="en-GB" w:eastAsia="en-US"/>
        </w:rPr>
        <w:t>(a)</w:t>
      </w:r>
      <w:r w:rsidR="00144E91">
        <w:rPr>
          <w:lang w:val="en-GB" w:eastAsia="en-US"/>
        </w:rPr>
        <w:t xml:space="preserve"> with a preconfigured resource pool.</w:t>
      </w:r>
    </w:p>
    <w:p w14:paraId="3166B2EE" w14:textId="2240A4BA" w:rsidR="00144E91" w:rsidRPr="00144E91" w:rsidRDefault="00144E91" w:rsidP="005C28B4">
      <w:pPr>
        <w:spacing w:after="240"/>
        <w:rPr>
          <w:lang w:val="en-GB" w:eastAsia="en-US"/>
        </w:rPr>
      </w:pPr>
      <w:r>
        <w:rPr>
          <w:lang w:val="en-GB" w:eastAsia="en-US"/>
        </w:rPr>
        <w:t>The resource pool</w:t>
      </w:r>
      <w:r w:rsidR="002937D8">
        <w:rPr>
          <w:lang w:val="en-GB" w:eastAsia="en-US"/>
        </w:rPr>
        <w:t xml:space="preserve"> for BSR transmission</w:t>
      </w:r>
      <w:r>
        <w:rPr>
          <w:lang w:val="en-GB" w:eastAsia="en-US"/>
        </w:rPr>
        <w:t xml:space="preserve"> could either be sent directly from the </w:t>
      </w:r>
      <w:proofErr w:type="spellStart"/>
      <w:r>
        <w:rPr>
          <w:lang w:val="en-GB" w:eastAsia="en-US"/>
        </w:rPr>
        <w:t>gNB</w:t>
      </w:r>
      <w:proofErr w:type="spellEnd"/>
      <w:r>
        <w:rPr>
          <w:lang w:val="en-GB" w:eastAsia="en-US"/>
        </w:rPr>
        <w:t xml:space="preserve"> to the scheduled UE while in coverage, or forwarded by the scheduling UE; in either case it seems that RRC signalling should be used.  Both alternatives are shown in </w:t>
      </w:r>
      <w:r>
        <w:rPr>
          <w:lang w:val="en-GB" w:eastAsia="en-US"/>
        </w:rPr>
        <w:fldChar w:fldCharType="begin"/>
      </w:r>
      <w:r>
        <w:rPr>
          <w:lang w:val="en-GB" w:eastAsia="en-US"/>
        </w:rPr>
        <w:instrText xml:space="preserve"> REF _Ref532552041 \h </w:instrText>
      </w:r>
      <w:r>
        <w:rPr>
          <w:lang w:val="en-GB" w:eastAsia="en-US"/>
        </w:rPr>
      </w:r>
      <w:r>
        <w:rPr>
          <w:lang w:val="en-GB" w:eastAsia="en-US"/>
        </w:rPr>
        <w:fldChar w:fldCharType="separate"/>
      </w:r>
      <w:r w:rsidR="00563220">
        <w:t xml:space="preserve">Figure </w:t>
      </w:r>
      <w:r w:rsidR="00563220">
        <w:rPr>
          <w:noProof/>
        </w:rPr>
        <w:t>3</w:t>
      </w:r>
      <w:r>
        <w:rPr>
          <w:lang w:val="en-GB" w:eastAsia="en-US"/>
        </w:rPr>
        <w:fldChar w:fldCharType="end"/>
      </w:r>
      <w:r>
        <w:rPr>
          <w:lang w:val="en-GB" w:eastAsia="en-US"/>
        </w:rPr>
        <w:t>.</w:t>
      </w:r>
      <w:r w:rsidR="000D012C">
        <w:rPr>
          <w:lang w:val="en-GB" w:eastAsia="en-US"/>
        </w:rPr>
        <w:t xml:space="preserve">  It seems necessary to support forwarding through the scheduling UE, for the partial-coverage case; however, when the scheduled UE is in coverage, it seems more expedient to deliver the pool directly.  Thus we suggest that both alternatives should be supported.</w:t>
      </w:r>
    </w:p>
    <w:p w14:paraId="451B1FFE" w14:textId="36BED016" w:rsidR="000E2F45" w:rsidRDefault="000E2F45" w:rsidP="000E2F45">
      <w:pPr>
        <w:keepNext/>
        <w:spacing w:after="240"/>
        <w:jc w:val="center"/>
      </w:pPr>
      <w:r>
        <w:object w:dxaOrig="10155" w:dyaOrig="3675" w14:anchorId="567A9BE5">
          <v:shape id="_x0000_i1027" type="#_x0000_t75" style="width:421.5pt;height:153pt" o:ole="">
            <v:imagedata r:id="rId12" o:title=""/>
          </v:shape>
          <o:OLEObject Type="Embed" ProgID="Visio.Drawing.11" ShapeID="_x0000_i1027" DrawAspect="Content" ObjectID="_1611679115" r:id="rId13"/>
        </w:object>
      </w:r>
    </w:p>
    <w:p w14:paraId="38BB8B0A" w14:textId="2EF8C9E7" w:rsidR="000E2F45" w:rsidRDefault="000E2F45" w:rsidP="000E2F45">
      <w:pPr>
        <w:pStyle w:val="Caption"/>
        <w:jc w:val="center"/>
      </w:pPr>
      <w:bookmarkStart w:id="15" w:name="_Ref532552041"/>
      <w:r>
        <w:t xml:space="preserve">Figure </w:t>
      </w:r>
      <w:r>
        <w:fldChar w:fldCharType="begin"/>
      </w:r>
      <w:r>
        <w:instrText xml:space="preserve"> SEQ Figure \* ARABIC </w:instrText>
      </w:r>
      <w:r>
        <w:fldChar w:fldCharType="separate"/>
      </w:r>
      <w:r w:rsidR="00563220">
        <w:rPr>
          <w:noProof/>
        </w:rPr>
        <w:t>3</w:t>
      </w:r>
      <w:r>
        <w:fldChar w:fldCharType="end"/>
      </w:r>
      <w:bookmarkEnd w:id="15"/>
      <w:r w:rsidR="00563220">
        <w:t>: Message flow</w:t>
      </w:r>
      <w:r>
        <w:t xml:space="preserve"> with a preconfigured pool for BSR transmission</w:t>
      </w:r>
    </w:p>
    <w:p w14:paraId="5FEB070E" w14:textId="77777777" w:rsidR="000E2F45" w:rsidRDefault="000E2F45" w:rsidP="005C28B4">
      <w:pPr>
        <w:spacing w:after="240"/>
        <w:rPr>
          <w:lang w:val="en-GB" w:eastAsia="en-US"/>
        </w:rPr>
      </w:pPr>
    </w:p>
    <w:p w14:paraId="509A3A07" w14:textId="5024A3E1" w:rsidR="00654D35" w:rsidRPr="00144E91" w:rsidRDefault="00C50067" w:rsidP="005C28B4">
      <w:pPr>
        <w:spacing w:after="240"/>
        <w:rPr>
          <w:lang w:val="en-GB" w:eastAsia="en-US"/>
        </w:rPr>
      </w:pPr>
      <w:r>
        <w:rPr>
          <w:b/>
          <w:lang w:val="en-GB" w:eastAsia="en-US"/>
        </w:rPr>
        <w:t xml:space="preserve">Proposal </w:t>
      </w:r>
      <w:r w:rsidR="000F4057">
        <w:rPr>
          <w:b/>
          <w:lang w:val="en-GB" w:eastAsia="en-US"/>
        </w:rPr>
        <w:t>8</w:t>
      </w:r>
      <w:r w:rsidR="00144E91">
        <w:rPr>
          <w:b/>
          <w:lang w:val="en-GB" w:eastAsia="en-US"/>
        </w:rPr>
        <w:t>:</w:t>
      </w:r>
      <w:r w:rsidR="00144E91">
        <w:rPr>
          <w:lang w:val="en-GB" w:eastAsia="en-US"/>
        </w:rPr>
        <w:t xml:space="preserve"> The resource pool for </w:t>
      </w:r>
      <w:proofErr w:type="spellStart"/>
      <w:r w:rsidR="00144E91">
        <w:rPr>
          <w:lang w:val="en-GB" w:eastAsia="en-US"/>
        </w:rPr>
        <w:t>sidelink</w:t>
      </w:r>
      <w:proofErr w:type="spellEnd"/>
      <w:r w:rsidR="00144E91">
        <w:rPr>
          <w:lang w:val="en-GB" w:eastAsia="en-US"/>
        </w:rPr>
        <w:t xml:space="preserve"> BSRs can be sent directly from the </w:t>
      </w:r>
      <w:proofErr w:type="spellStart"/>
      <w:r w:rsidR="00144E91">
        <w:rPr>
          <w:lang w:val="en-GB" w:eastAsia="en-US"/>
        </w:rPr>
        <w:t>gNB</w:t>
      </w:r>
      <w:proofErr w:type="spellEnd"/>
      <w:r w:rsidR="00144E91">
        <w:rPr>
          <w:lang w:val="en-GB" w:eastAsia="en-US"/>
        </w:rPr>
        <w:t xml:space="preserve"> or forwarded by the scheduling UE, using RRC signalling in either case.</w:t>
      </w:r>
    </w:p>
    <w:p w14:paraId="0E35054B" w14:textId="6192AF61" w:rsidR="00A07E02" w:rsidRPr="00DE165A" w:rsidRDefault="00A07E02" w:rsidP="000E3C08">
      <w:pPr>
        <w:pStyle w:val="Heading1"/>
        <w:overflowPunct w:val="0"/>
        <w:autoSpaceDE w:val="0"/>
        <w:autoSpaceDN w:val="0"/>
        <w:adjustRightInd w:val="0"/>
        <w:rPr>
          <w:rFonts w:eastAsia="PMingLiU" w:cs="Arial"/>
        </w:rPr>
      </w:pPr>
      <w:r w:rsidRPr="00DE165A">
        <w:rPr>
          <w:rFonts w:eastAsia="PMingLiU" w:cs="Arial"/>
        </w:rPr>
        <w:t>Conclusion</w:t>
      </w:r>
    </w:p>
    <w:bookmarkEnd w:id="0"/>
    <w:bookmarkEnd w:id="1"/>
    <w:p w14:paraId="33E41A1C" w14:textId="2E3AAE42" w:rsidR="00C80EA8" w:rsidRDefault="00674996" w:rsidP="00076184">
      <w:pPr>
        <w:spacing w:after="120"/>
        <w:rPr>
          <w:rFonts w:ascii="Arial" w:hAnsi="Arial" w:cs="Arial"/>
          <w:sz w:val="20"/>
          <w:szCs w:val="20"/>
          <w:lang w:val="en-GB"/>
        </w:rPr>
      </w:pPr>
      <w:r>
        <w:rPr>
          <w:rFonts w:ascii="Arial" w:hAnsi="Arial" w:cs="Arial"/>
          <w:sz w:val="20"/>
          <w:szCs w:val="20"/>
          <w:lang w:val="en-GB"/>
        </w:rPr>
        <w:t>This document promulgated the following proposals</w:t>
      </w:r>
      <w:r w:rsidR="00C80EA8" w:rsidRPr="00CB6B00">
        <w:rPr>
          <w:rFonts w:ascii="Arial" w:hAnsi="Arial" w:cs="Arial"/>
          <w:sz w:val="20"/>
          <w:szCs w:val="20"/>
          <w:lang w:val="en-GB"/>
        </w:rPr>
        <w:t>:</w:t>
      </w:r>
    </w:p>
    <w:p w14:paraId="233E4AC5" w14:textId="77777777" w:rsidR="005329D8" w:rsidRDefault="005329D8" w:rsidP="005329D8">
      <w:pPr>
        <w:spacing w:after="240"/>
        <w:rPr>
          <w:lang w:val="en-GB" w:eastAsia="en-US"/>
        </w:rPr>
      </w:pPr>
      <w:r>
        <w:rPr>
          <w:b/>
          <w:lang w:val="en-GB" w:eastAsia="en-US"/>
        </w:rPr>
        <w:t>Proposal 1:</w:t>
      </w:r>
      <w:r>
        <w:rPr>
          <w:lang w:val="en-GB" w:eastAsia="en-US"/>
        </w:rPr>
        <w:t xml:space="preserve"> Support a UE-assisted “baseline” approach in which the UE assistance consists of delivering by </w:t>
      </w:r>
      <w:proofErr w:type="spellStart"/>
      <w:r>
        <w:rPr>
          <w:lang w:val="en-GB" w:eastAsia="en-US"/>
        </w:rPr>
        <w:t>sidelink</w:t>
      </w:r>
      <w:proofErr w:type="spellEnd"/>
      <w:r>
        <w:rPr>
          <w:lang w:val="en-GB" w:eastAsia="en-US"/>
        </w:rPr>
        <w:t xml:space="preserve"> RRC signalling a resource pool within which the scheduled UE can perform mode 2(a) resource selection.</w:t>
      </w:r>
    </w:p>
    <w:p w14:paraId="27C724EF" w14:textId="77777777" w:rsidR="005329D8" w:rsidRPr="00C50067" w:rsidRDefault="005329D8" w:rsidP="005329D8">
      <w:pPr>
        <w:spacing w:after="240"/>
        <w:rPr>
          <w:lang w:val="en-GB" w:eastAsia="en-US"/>
        </w:rPr>
      </w:pPr>
      <w:r>
        <w:rPr>
          <w:b/>
          <w:lang w:val="en-GB" w:eastAsia="en-US"/>
        </w:rPr>
        <w:t>Proposal 2:</w:t>
      </w:r>
      <w:r>
        <w:rPr>
          <w:lang w:val="en-GB" w:eastAsia="en-US"/>
        </w:rPr>
        <w:t xml:space="preserve"> No dependency on the cast type is specified for the baseline approach.</w:t>
      </w:r>
    </w:p>
    <w:p w14:paraId="50A38114" w14:textId="34737FCD" w:rsidR="005329D8" w:rsidRPr="005329D8" w:rsidRDefault="005329D8" w:rsidP="005329D8">
      <w:pPr>
        <w:spacing w:after="240"/>
        <w:rPr>
          <w:lang w:val="en-GB" w:eastAsia="en-US"/>
        </w:rPr>
      </w:pPr>
      <w:r>
        <w:rPr>
          <w:b/>
          <w:lang w:val="en-GB" w:eastAsia="en-US"/>
        </w:rPr>
        <w:t>Proposal 3:</w:t>
      </w:r>
      <w:r>
        <w:rPr>
          <w:lang w:val="en-GB" w:eastAsia="en-US"/>
        </w:rPr>
        <w:t xml:space="preserve"> Consider supporting a UE-assisted approach in which the scheduling UE receives a </w:t>
      </w:r>
      <w:proofErr w:type="spellStart"/>
      <w:r>
        <w:rPr>
          <w:lang w:val="en-GB" w:eastAsia="en-US"/>
        </w:rPr>
        <w:t>sidelink</w:t>
      </w:r>
      <w:proofErr w:type="spellEnd"/>
      <w:r>
        <w:rPr>
          <w:lang w:val="en-GB" w:eastAsia="en-US"/>
        </w:rPr>
        <w:t xml:space="preserve"> BSR</w:t>
      </w:r>
      <w:r>
        <w:t xml:space="preserve"> </w:t>
      </w:r>
      <w:r>
        <w:rPr>
          <w:lang w:val="en-GB" w:eastAsia="en-US"/>
        </w:rPr>
        <w:t xml:space="preserve">sent by the scheduled UE, and responds with a </w:t>
      </w:r>
      <w:proofErr w:type="spellStart"/>
      <w:r>
        <w:rPr>
          <w:lang w:val="en-GB" w:eastAsia="en-US"/>
        </w:rPr>
        <w:t>sidelink</w:t>
      </w:r>
      <w:proofErr w:type="spellEnd"/>
      <w:r>
        <w:rPr>
          <w:lang w:val="en-GB" w:eastAsia="en-US"/>
        </w:rPr>
        <w:t xml:space="preserve"> grant of resources drawn from a configured pool or grant.</w:t>
      </w:r>
    </w:p>
    <w:p w14:paraId="2B9BB595" w14:textId="77777777" w:rsidR="005329D8" w:rsidRDefault="005329D8" w:rsidP="005329D8">
      <w:pPr>
        <w:spacing w:after="240"/>
        <w:rPr>
          <w:lang w:val="en-GB" w:eastAsia="en-US"/>
        </w:rPr>
      </w:pPr>
      <w:r>
        <w:rPr>
          <w:b/>
          <w:lang w:val="en-GB" w:eastAsia="en-US"/>
        </w:rPr>
        <w:lastRenderedPageBreak/>
        <w:t>Proposal 4:</w:t>
      </w:r>
      <w:r>
        <w:rPr>
          <w:lang w:val="en-GB" w:eastAsia="en-US"/>
        </w:rPr>
        <w:t xml:space="preserve"> The </w:t>
      </w:r>
      <w:proofErr w:type="spellStart"/>
      <w:r>
        <w:rPr>
          <w:lang w:val="en-GB" w:eastAsia="en-US"/>
        </w:rPr>
        <w:t>sidelink</w:t>
      </w:r>
      <w:proofErr w:type="spellEnd"/>
      <w:r>
        <w:rPr>
          <w:lang w:val="en-GB" w:eastAsia="en-US"/>
        </w:rPr>
        <w:t xml:space="preserve"> BSR in the UE-assisted case uses MAC signalling on the </w:t>
      </w:r>
      <w:proofErr w:type="spellStart"/>
      <w:r>
        <w:rPr>
          <w:lang w:val="en-GB" w:eastAsia="en-US"/>
        </w:rPr>
        <w:t>sidelink</w:t>
      </w:r>
      <w:proofErr w:type="spellEnd"/>
      <w:r>
        <w:rPr>
          <w:lang w:val="en-GB" w:eastAsia="en-US"/>
        </w:rPr>
        <w:t xml:space="preserve">; the signalling layer for the </w:t>
      </w:r>
      <w:proofErr w:type="spellStart"/>
      <w:r>
        <w:rPr>
          <w:lang w:val="en-GB" w:eastAsia="en-US"/>
        </w:rPr>
        <w:t>sidelink</w:t>
      </w:r>
      <w:proofErr w:type="spellEnd"/>
      <w:r>
        <w:rPr>
          <w:lang w:val="en-GB" w:eastAsia="en-US"/>
        </w:rPr>
        <w:t xml:space="preserve"> grant is FFS (RRC or MAC).</w:t>
      </w:r>
    </w:p>
    <w:p w14:paraId="0F91DC64" w14:textId="77777777" w:rsidR="005329D8" w:rsidRPr="00E65F07" w:rsidRDefault="005329D8" w:rsidP="005329D8">
      <w:pPr>
        <w:spacing w:after="240"/>
        <w:rPr>
          <w:lang w:val="en-GB" w:eastAsia="en-US"/>
        </w:rPr>
      </w:pPr>
      <w:r>
        <w:rPr>
          <w:b/>
          <w:lang w:val="en-GB" w:eastAsia="en-US"/>
        </w:rPr>
        <w:t>Proposal 5:</w:t>
      </w:r>
      <w:r>
        <w:rPr>
          <w:lang w:val="en-GB" w:eastAsia="en-US"/>
        </w:rPr>
        <w:t xml:space="preserve"> It is FFS whether the “pool or grant” should be a common pool or an exclusive grant for the scheduling UE.</w:t>
      </w:r>
    </w:p>
    <w:p w14:paraId="44886C95" w14:textId="77777777" w:rsidR="000F4057" w:rsidRPr="000F4057" w:rsidRDefault="000F4057" w:rsidP="000F4057">
      <w:pPr>
        <w:spacing w:after="240"/>
        <w:rPr>
          <w:lang w:val="en-GB" w:eastAsia="en-US"/>
        </w:rPr>
      </w:pPr>
      <w:r>
        <w:rPr>
          <w:b/>
          <w:lang w:val="en-GB" w:eastAsia="en-US"/>
        </w:rPr>
        <w:t>Proposal 6:</w:t>
      </w:r>
      <w:r>
        <w:rPr>
          <w:lang w:val="en-GB" w:eastAsia="en-US"/>
        </w:rPr>
        <w:t xml:space="preserve"> UE-assisted scheduling can be supported by joint operation of mode 2(a) or 2(c) (between the </w:t>
      </w:r>
      <w:proofErr w:type="spellStart"/>
      <w:r>
        <w:rPr>
          <w:lang w:val="en-GB" w:eastAsia="en-US"/>
        </w:rPr>
        <w:t>gNB</w:t>
      </w:r>
      <w:proofErr w:type="spellEnd"/>
      <w:r>
        <w:rPr>
          <w:lang w:val="en-GB" w:eastAsia="en-US"/>
        </w:rPr>
        <w:t xml:space="preserve"> and the scheduling UE) with mode 2(d).</w:t>
      </w:r>
    </w:p>
    <w:p w14:paraId="69C091D6" w14:textId="4B68F64A" w:rsidR="005329D8" w:rsidRDefault="000F4057" w:rsidP="005329D8">
      <w:pPr>
        <w:spacing w:after="240"/>
        <w:rPr>
          <w:lang w:val="en-GB" w:eastAsia="en-US"/>
        </w:rPr>
      </w:pPr>
      <w:r>
        <w:rPr>
          <w:b/>
          <w:lang w:val="en-GB" w:eastAsia="en-US"/>
        </w:rPr>
        <w:t>Proposal 7</w:t>
      </w:r>
      <w:r w:rsidR="005329D8">
        <w:rPr>
          <w:b/>
          <w:lang w:val="en-GB" w:eastAsia="en-US"/>
        </w:rPr>
        <w:t>:</w:t>
      </w:r>
      <w:r w:rsidR="005329D8">
        <w:rPr>
          <w:lang w:val="en-GB" w:eastAsia="en-US"/>
        </w:rPr>
        <w:t xml:space="preserve"> To send a </w:t>
      </w:r>
      <w:proofErr w:type="spellStart"/>
      <w:r w:rsidR="005329D8">
        <w:rPr>
          <w:lang w:val="en-GB" w:eastAsia="en-US"/>
        </w:rPr>
        <w:t>sidelink</w:t>
      </w:r>
      <w:proofErr w:type="spellEnd"/>
      <w:r w:rsidR="005329D8">
        <w:rPr>
          <w:lang w:val="en-GB" w:eastAsia="en-US"/>
        </w:rPr>
        <w:t xml:space="preserve"> BSR on </w:t>
      </w:r>
      <w:proofErr w:type="spellStart"/>
      <w:r w:rsidR="005329D8">
        <w:rPr>
          <w:lang w:val="en-GB" w:eastAsia="en-US"/>
        </w:rPr>
        <w:t>sidelink</w:t>
      </w:r>
      <w:proofErr w:type="spellEnd"/>
      <w:r w:rsidR="005329D8">
        <w:rPr>
          <w:lang w:val="en-GB" w:eastAsia="en-US"/>
        </w:rPr>
        <w:t>, the scheduled UE uses allocation mode 2(a) with a preconfigured resource pool.</w:t>
      </w:r>
    </w:p>
    <w:p w14:paraId="1BA7B0B6" w14:textId="3F286DDE" w:rsidR="005329D8" w:rsidRPr="00144E91" w:rsidRDefault="000F4057" w:rsidP="005329D8">
      <w:pPr>
        <w:spacing w:after="240"/>
        <w:rPr>
          <w:lang w:val="en-GB" w:eastAsia="en-US"/>
        </w:rPr>
      </w:pPr>
      <w:r>
        <w:rPr>
          <w:b/>
          <w:lang w:val="en-GB" w:eastAsia="en-US"/>
        </w:rPr>
        <w:t>Proposal 8</w:t>
      </w:r>
      <w:r w:rsidR="005329D8">
        <w:rPr>
          <w:b/>
          <w:lang w:val="en-GB" w:eastAsia="en-US"/>
        </w:rPr>
        <w:t>:</w:t>
      </w:r>
      <w:r w:rsidR="005329D8">
        <w:rPr>
          <w:lang w:val="en-GB" w:eastAsia="en-US"/>
        </w:rPr>
        <w:t xml:space="preserve"> The resource pool for </w:t>
      </w:r>
      <w:proofErr w:type="spellStart"/>
      <w:r w:rsidR="005329D8">
        <w:rPr>
          <w:lang w:val="en-GB" w:eastAsia="en-US"/>
        </w:rPr>
        <w:t>sidelink</w:t>
      </w:r>
      <w:proofErr w:type="spellEnd"/>
      <w:r w:rsidR="005329D8">
        <w:rPr>
          <w:lang w:val="en-GB" w:eastAsia="en-US"/>
        </w:rPr>
        <w:t xml:space="preserve"> BSRs can be sent directly from the </w:t>
      </w:r>
      <w:proofErr w:type="spellStart"/>
      <w:r w:rsidR="005329D8">
        <w:rPr>
          <w:lang w:val="en-GB" w:eastAsia="en-US"/>
        </w:rPr>
        <w:t>gNB</w:t>
      </w:r>
      <w:proofErr w:type="spellEnd"/>
      <w:r w:rsidR="005329D8">
        <w:rPr>
          <w:lang w:val="en-GB" w:eastAsia="en-US"/>
        </w:rPr>
        <w:t xml:space="preserve"> or forwarded by the scheduling UE, using RRC signalling in either case.</w:t>
      </w:r>
    </w:p>
    <w:p w14:paraId="1CD51B74" w14:textId="71304200" w:rsidR="00A07E02" w:rsidRPr="00DE165A" w:rsidRDefault="007E37A2" w:rsidP="00A07E02">
      <w:pPr>
        <w:pStyle w:val="Heading1"/>
        <w:overflowPunct w:val="0"/>
        <w:autoSpaceDE w:val="0"/>
        <w:autoSpaceDN w:val="0"/>
        <w:adjustRightInd w:val="0"/>
        <w:rPr>
          <w:rFonts w:eastAsia="PMingLiU" w:cs="Arial"/>
        </w:rPr>
      </w:pPr>
      <w:r w:rsidRPr="00DE165A">
        <w:rPr>
          <w:rFonts w:eastAsia="PMingLiU" w:cs="Arial"/>
          <w:lang w:eastAsia="zh-TW"/>
        </w:rPr>
        <w:t>R</w:t>
      </w:r>
      <w:r w:rsidR="00A07E02" w:rsidRPr="00DE165A">
        <w:rPr>
          <w:rFonts w:eastAsia="PMingLiU" w:cs="Arial"/>
        </w:rPr>
        <w:t>eference</w:t>
      </w:r>
      <w:r w:rsidR="00674996">
        <w:rPr>
          <w:rFonts w:eastAsia="PMingLiU" w:cs="Arial"/>
        </w:rPr>
        <w:t>s</w:t>
      </w:r>
    </w:p>
    <w:p w14:paraId="67D9A507" w14:textId="69D27E74" w:rsidR="00DE139C" w:rsidRDefault="000F596A" w:rsidP="000F4EBA">
      <w:pPr>
        <w:numPr>
          <w:ilvl w:val="0"/>
          <w:numId w:val="10"/>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RAN1 Chairman’s Notes, RAN1#94</w:t>
      </w:r>
    </w:p>
    <w:p w14:paraId="166BCCA6" w14:textId="100B2FE1" w:rsidR="00AB2F23" w:rsidRDefault="00AB2F23" w:rsidP="000F4EBA">
      <w:pPr>
        <w:numPr>
          <w:ilvl w:val="0"/>
          <w:numId w:val="10"/>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TR 36.746, “Study on further enhancements to LTE Device to Device (D2D), UE to network relays for Internet of Things (</w:t>
      </w:r>
      <w:proofErr w:type="spellStart"/>
      <w:r>
        <w:rPr>
          <w:rFonts w:ascii="Arial" w:hAnsi="Arial" w:cs="Arial"/>
          <w:sz w:val="20"/>
          <w:szCs w:val="20"/>
        </w:rPr>
        <w:t>IoT</w:t>
      </w:r>
      <w:proofErr w:type="spellEnd"/>
      <w:r>
        <w:rPr>
          <w:rFonts w:ascii="Arial" w:hAnsi="Arial" w:cs="Arial"/>
          <w:sz w:val="20"/>
          <w:szCs w:val="20"/>
        </w:rPr>
        <w:t>) and wearables”</w:t>
      </w:r>
    </w:p>
    <w:p w14:paraId="4650944B" w14:textId="39FE4620" w:rsidR="00C9222B" w:rsidRDefault="00C9222B" w:rsidP="00C9222B">
      <w:pPr>
        <w:numPr>
          <w:ilvl w:val="0"/>
          <w:numId w:val="10"/>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R2-19xxxxx, “</w:t>
      </w:r>
      <w:r w:rsidRPr="00C9222B">
        <w:rPr>
          <w:rFonts w:ascii="Arial" w:hAnsi="Arial" w:cs="Arial"/>
          <w:sz w:val="20"/>
          <w:szCs w:val="20"/>
        </w:rPr>
        <w:t>Report of [104#59][NR/V2X] Resource allocation (LG)</w:t>
      </w:r>
      <w:r>
        <w:rPr>
          <w:rFonts w:ascii="Arial" w:hAnsi="Arial" w:cs="Arial"/>
          <w:sz w:val="20"/>
          <w:szCs w:val="20"/>
        </w:rPr>
        <w:t>”, LG, RAN2#105</w:t>
      </w:r>
    </w:p>
    <w:p w14:paraId="38403472" w14:textId="238889F4" w:rsidR="00186BD5" w:rsidRDefault="00186BD5" w:rsidP="00C9222B">
      <w:pPr>
        <w:numPr>
          <w:ilvl w:val="0"/>
          <w:numId w:val="10"/>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RAN1 Chairman’s Notes, RAN1 Ad-Hoc 1901</w:t>
      </w:r>
    </w:p>
    <w:sectPr w:rsidR="00186BD5" w:rsidSect="00E70F1A">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E41E5" w14:textId="77777777" w:rsidR="00163530" w:rsidRDefault="00163530">
      <w:pPr>
        <w:pStyle w:val="TAL"/>
      </w:pPr>
      <w:r>
        <w:separator/>
      </w:r>
    </w:p>
  </w:endnote>
  <w:endnote w:type="continuationSeparator" w:id="0">
    <w:p w14:paraId="1D96BD31" w14:textId="77777777" w:rsidR="00163530" w:rsidRDefault="0016353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743F28">
      <w:t>5</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A56C7" w14:textId="77777777" w:rsidR="00163530" w:rsidRDefault="00163530">
      <w:pPr>
        <w:pStyle w:val="TAL"/>
      </w:pPr>
      <w:r>
        <w:separator/>
      </w:r>
    </w:p>
  </w:footnote>
  <w:footnote w:type="continuationSeparator" w:id="0">
    <w:p w14:paraId="30B693EA" w14:textId="77777777" w:rsidR="00163530" w:rsidRDefault="00163530">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1"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10"/>
  </w:num>
  <w:num w:numId="4">
    <w:abstractNumId w:val="7"/>
  </w:num>
  <w:num w:numId="5">
    <w:abstractNumId w:val="4"/>
  </w:num>
  <w:num w:numId="6">
    <w:abstractNumId w:val="3"/>
  </w:num>
  <w:num w:numId="7">
    <w:abstractNumId w:val="14"/>
  </w:num>
  <w:num w:numId="8">
    <w:abstractNumId w:val="13"/>
  </w:num>
  <w:num w:numId="9">
    <w:abstractNumId w:val="0"/>
  </w:num>
  <w:num w:numId="10">
    <w:abstractNumId w:val="2"/>
  </w:num>
  <w:num w:numId="11">
    <w:abstractNumId w:val="9"/>
  </w:num>
  <w:num w:numId="12">
    <w:abstractNumId w:val="12"/>
  </w:num>
  <w:num w:numId="13">
    <w:abstractNumId w:val="11"/>
  </w:num>
  <w:num w:numId="14">
    <w:abstractNumId w:val="1"/>
  </w:num>
  <w:num w:numId="15">
    <w:abstractNumId w:val="8"/>
  </w:num>
  <w:num w:numId="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153"/>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2EAE"/>
    <w:rsid w:val="00073F74"/>
    <w:rsid w:val="00073F79"/>
    <w:rsid w:val="00075D95"/>
    <w:rsid w:val="00076184"/>
    <w:rsid w:val="00076AB1"/>
    <w:rsid w:val="00076DA4"/>
    <w:rsid w:val="000771A9"/>
    <w:rsid w:val="00077A44"/>
    <w:rsid w:val="00077AA6"/>
    <w:rsid w:val="00077D9E"/>
    <w:rsid w:val="0008028B"/>
    <w:rsid w:val="00081B9C"/>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12C"/>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2F45"/>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6D34"/>
    <w:rsid w:val="000F03CA"/>
    <w:rsid w:val="000F05CF"/>
    <w:rsid w:val="000F085D"/>
    <w:rsid w:val="000F1617"/>
    <w:rsid w:val="000F1C33"/>
    <w:rsid w:val="000F2D73"/>
    <w:rsid w:val="000F2F2E"/>
    <w:rsid w:val="000F302D"/>
    <w:rsid w:val="000F3310"/>
    <w:rsid w:val="000F33BA"/>
    <w:rsid w:val="000F37FB"/>
    <w:rsid w:val="000F4057"/>
    <w:rsid w:val="000F4549"/>
    <w:rsid w:val="000F4EBA"/>
    <w:rsid w:val="000F5057"/>
    <w:rsid w:val="000F54BC"/>
    <w:rsid w:val="000F558F"/>
    <w:rsid w:val="000F596A"/>
    <w:rsid w:val="000F606C"/>
    <w:rsid w:val="000F7D52"/>
    <w:rsid w:val="00100446"/>
    <w:rsid w:val="001004B3"/>
    <w:rsid w:val="00100575"/>
    <w:rsid w:val="0010066F"/>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4D4"/>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91"/>
    <w:rsid w:val="00144ED0"/>
    <w:rsid w:val="00145581"/>
    <w:rsid w:val="0014577D"/>
    <w:rsid w:val="00145B02"/>
    <w:rsid w:val="00145D63"/>
    <w:rsid w:val="0014605E"/>
    <w:rsid w:val="001468C6"/>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530"/>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4B4"/>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BD5"/>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2537"/>
    <w:rsid w:val="001A331F"/>
    <w:rsid w:val="001A3F63"/>
    <w:rsid w:val="001A4630"/>
    <w:rsid w:val="001A4D64"/>
    <w:rsid w:val="001A513B"/>
    <w:rsid w:val="001A5590"/>
    <w:rsid w:val="001A6047"/>
    <w:rsid w:val="001A61D8"/>
    <w:rsid w:val="001A62C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4B"/>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6F4"/>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21F2"/>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7D8"/>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8E3"/>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1F3E"/>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3F26"/>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09"/>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17"/>
    <w:rsid w:val="004B0A27"/>
    <w:rsid w:val="004B0A74"/>
    <w:rsid w:val="004B1A7F"/>
    <w:rsid w:val="004B212A"/>
    <w:rsid w:val="004B24FC"/>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042"/>
    <w:rsid w:val="004D1803"/>
    <w:rsid w:val="004D1CCC"/>
    <w:rsid w:val="004D275C"/>
    <w:rsid w:val="004D2B6E"/>
    <w:rsid w:val="004D2B7B"/>
    <w:rsid w:val="004D3127"/>
    <w:rsid w:val="004D3255"/>
    <w:rsid w:val="004D3A6B"/>
    <w:rsid w:val="004D44FD"/>
    <w:rsid w:val="004D4950"/>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D8"/>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220"/>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426"/>
    <w:rsid w:val="005C1747"/>
    <w:rsid w:val="005C18DA"/>
    <w:rsid w:val="005C2026"/>
    <w:rsid w:val="005C21DF"/>
    <w:rsid w:val="005C25BF"/>
    <w:rsid w:val="005C28B4"/>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93"/>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1EA0"/>
    <w:rsid w:val="00652C55"/>
    <w:rsid w:val="0065371D"/>
    <w:rsid w:val="006540DF"/>
    <w:rsid w:val="00654CBA"/>
    <w:rsid w:val="00654D35"/>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830"/>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024"/>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AF1"/>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AD2"/>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39F"/>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3F28"/>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0B8"/>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0008"/>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2F0"/>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972"/>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C33"/>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CFF"/>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2F23"/>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5A0"/>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B7C"/>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4B7"/>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62EF"/>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CDC"/>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4639"/>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3C6"/>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067"/>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879C5"/>
    <w:rsid w:val="00C9037E"/>
    <w:rsid w:val="00C90473"/>
    <w:rsid w:val="00C90CDC"/>
    <w:rsid w:val="00C90D4D"/>
    <w:rsid w:val="00C90F13"/>
    <w:rsid w:val="00C9222B"/>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01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47729"/>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0E2A"/>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6F7C"/>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764"/>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6EF"/>
    <w:rsid w:val="00D958B5"/>
    <w:rsid w:val="00D95E62"/>
    <w:rsid w:val="00D97496"/>
    <w:rsid w:val="00DA08A2"/>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564"/>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3F05"/>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5F0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28D"/>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0D7"/>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E4E"/>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40F"/>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E8A"/>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26D7"/>
    <w:rsid w:val="00FF3457"/>
    <w:rsid w:val="00FF468D"/>
    <w:rsid w:val="00FF4A47"/>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FA7A32-BCE3-4A1A-8BCA-DD8678E8C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1780</Words>
  <Characters>10146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Nathan Tenny</cp:lastModifiedBy>
  <cp:revision>2</cp:revision>
  <cp:lastPrinted>2007-12-21T04:58:00Z</cp:lastPrinted>
  <dcterms:created xsi:type="dcterms:W3CDTF">2019-02-15T03:52:00Z</dcterms:created>
  <dcterms:modified xsi:type="dcterms:W3CDTF">2019-02-15T03:52:00Z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