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B01D1C" w14:textId="2465EBA5" w:rsidR="00C50E55" w:rsidRPr="00DE5B18" w:rsidRDefault="00C50E55" w:rsidP="00C50E5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DE5B18">
        <w:rPr>
          <w:rFonts w:ascii="Arial" w:hAnsi="Arial" w:cs="Arial"/>
          <w:b/>
          <w:bCs/>
        </w:rPr>
        <w:t>3GPP TSG RAN WG1 Meeting #94bis</w:t>
      </w:r>
      <w:r w:rsidRPr="00DE5B18">
        <w:rPr>
          <w:rFonts w:ascii="Arial" w:hAnsi="Arial" w:cs="Arial"/>
          <w:b/>
          <w:bCs/>
        </w:rPr>
        <w:tab/>
      </w:r>
      <w:r w:rsidRPr="00DE5B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EF3CAA">
        <w:rPr>
          <w:rFonts w:ascii="Arial" w:hAnsi="Arial" w:cs="Arial"/>
          <w:b/>
          <w:bCs/>
        </w:rPr>
        <w:t>R1-</w:t>
      </w:r>
      <w:r w:rsidR="00EF3CAA" w:rsidRPr="00EF3CAA">
        <w:rPr>
          <w:rFonts w:ascii="Arial" w:hAnsi="Arial" w:cs="Arial"/>
          <w:b/>
          <w:bCs/>
        </w:rPr>
        <w:t>18</w:t>
      </w:r>
      <w:r w:rsidR="00EF3CAA">
        <w:rPr>
          <w:rFonts w:ascii="Arial" w:hAnsi="Arial" w:cs="Arial"/>
          <w:b/>
          <w:bCs/>
        </w:rPr>
        <w:t>11344</w:t>
      </w:r>
    </w:p>
    <w:p w14:paraId="0359AC8B" w14:textId="77777777" w:rsidR="00C50E55" w:rsidRPr="00DE5B18" w:rsidRDefault="00C50E55" w:rsidP="00C50E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DE5B18">
        <w:rPr>
          <w:rFonts w:ascii="Arial" w:eastAsia="MS Mincho" w:hAnsi="Arial" w:cs="Arial"/>
          <w:b/>
          <w:bCs/>
          <w:lang w:eastAsia="ja-JP"/>
        </w:rPr>
        <w:t>Chengdu, China, October 8</w:t>
      </w:r>
      <w:r w:rsidRPr="00DE5B1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DE5B18">
        <w:rPr>
          <w:rFonts w:ascii="Arial" w:eastAsia="MS Mincho" w:hAnsi="Arial" w:cs="Arial"/>
          <w:b/>
          <w:bCs/>
          <w:lang w:eastAsia="ja-JP"/>
        </w:rPr>
        <w:t xml:space="preserve"> – 12</w:t>
      </w:r>
      <w:r w:rsidRPr="00DE5B1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DE5B18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0"/>
    <w:p w14:paraId="44920DE2" w14:textId="1926C5A2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533C31">
        <w:rPr>
          <w:rFonts w:eastAsia="MS Gothic" w:cs="Arial"/>
          <w:noProof w:val="0"/>
          <w:sz w:val="24"/>
          <w:szCs w:val="22"/>
        </w:rPr>
        <w:t xml:space="preserve">Preliminary </w:t>
      </w:r>
      <w:r w:rsidR="00533C31">
        <w:rPr>
          <w:rFonts w:eastAsia="MS Gothic" w:cs="Arial"/>
          <w:noProof w:val="0"/>
          <w:sz w:val="24"/>
          <w:szCs w:val="22"/>
          <w:lang w:eastAsia="ja-JP"/>
        </w:rPr>
        <w:t>e</w:t>
      </w:r>
      <w:r w:rsidR="006C5111">
        <w:rPr>
          <w:rFonts w:eastAsia="MS Gothic" w:cs="Arial"/>
          <w:noProof w:val="0"/>
          <w:sz w:val="24"/>
          <w:szCs w:val="22"/>
        </w:rPr>
        <w:t xml:space="preserve">valuation </w:t>
      </w:r>
      <w:r w:rsidR="00D0772E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MS Gothic" w:cs="Arial"/>
          <w:noProof w:val="0"/>
          <w:sz w:val="24"/>
          <w:szCs w:val="22"/>
        </w:rPr>
        <w:t xml:space="preserve">esults of </w:t>
      </w:r>
      <w:r w:rsidR="00533C31">
        <w:rPr>
          <w:rFonts w:eastAsiaTheme="minorEastAsia" w:cs="Arial"/>
          <w:noProof w:val="0"/>
          <w:sz w:val="24"/>
          <w:szCs w:val="22"/>
          <w:lang w:eastAsia="ja-JP"/>
        </w:rPr>
        <w:t>mobility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 for </w:t>
      </w:r>
      <w:r w:rsidR="002D47F9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elf-evaluation</w:t>
      </w:r>
    </w:p>
    <w:p w14:paraId="32D100CB" w14:textId="292C6EB7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MS Gothic" w:cs="Arial"/>
          <w:noProof w:val="0"/>
          <w:sz w:val="24"/>
          <w:szCs w:val="22"/>
        </w:rPr>
        <w:tab/>
      </w:r>
      <w:r w:rsidR="00E55C70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213DE8">
        <w:rPr>
          <w:rFonts w:eastAsia="宋体" w:cs="Arial"/>
          <w:noProof w:val="0"/>
          <w:sz w:val="24"/>
          <w:szCs w:val="22"/>
          <w:lang w:eastAsia="zh-CN"/>
        </w:rPr>
        <w:t>2.7.2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04F22CF0" w14:textId="620F85E6" w:rsidR="00533C31" w:rsidRDefault="00533C31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Mobility evaluation is used to exam the maximum mobile station speed at which a defined QoS can be achieved. ITU-R defined a procedure for mobility evaluation as follow [1].  </w:t>
      </w:r>
    </w:p>
    <w:p w14:paraId="285D8A25" w14:textId="77777777" w:rsidR="00533C31" w:rsidRPr="005708D1" w:rsidRDefault="00533C31" w:rsidP="00533C31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278988B5" wp14:editId="624E445E">
                <wp:extent cx="6324600" cy="1404620"/>
                <wp:effectExtent l="0" t="0" r="19050" b="18415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99FF0" w14:textId="77777777" w:rsidR="00533C31" w:rsidRPr="00B43C2D" w:rsidRDefault="00533C31" w:rsidP="00D163D6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  <w:r w:rsidRPr="00B43C2D">
                              <w:rPr>
                                <w:sz w:val="22"/>
                              </w:rPr>
                              <w:t>The evaluator shall perform the following steps in order to evaluate the mobility requirement.</w:t>
                            </w:r>
                          </w:p>
                          <w:p w14:paraId="10199C7F" w14:textId="76712AC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1: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</w:r>
                            <w:r w:rsidRPr="00B43C2D">
                              <w:rPr>
                                <w:sz w:val="22"/>
                                <w:lang w:val="en-US" w:eastAsia="ja-JP"/>
                              </w:rPr>
                              <w:t>Run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uplink system-level simulations, identical to those for average spectral efficiency, and 5</w:t>
                            </w:r>
                            <w:r w:rsidRPr="00B43C2D">
                              <w:rPr>
                                <w:sz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percentile user spectral efficiency except for speeds taken from Report ITU-R M.2410 [2], using link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 w:eastAsia="ja-JP"/>
                              </w:rPr>
                              <w:t>-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level simulations and a link-to-system interface appropriate for these speed values, for the set of selected test environment(s) associated with the candidate RITs/SRITs and collect overall statistics for uplink </w:t>
                            </w: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values, and construct CDF over these values for each test environment.</w:t>
                            </w:r>
                          </w:p>
                          <w:p w14:paraId="4195739A" w14:textId="7777777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2: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  <w:t>Use the CDF for the test environment(s) to save the respective 50</w:t>
                            </w:r>
                            <w:r w:rsidRPr="00B43C2D">
                              <w:rPr>
                                <w:sz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-percentile </w:t>
                            </w: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value.</w:t>
                            </w:r>
                          </w:p>
                          <w:p w14:paraId="1D80AF04" w14:textId="1C5F592A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3: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  <w:t>Run new uplink link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>-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>level simulations for the selected test environment(s) for either NLOS or LOS channel conditions using the associated speeds in Table 4 of Report ITU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noBreakHyphen/>
                              <w:t xml:space="preserve">R M.2410 [2], as input parameters, to obtain link data rate and residual packet error ratio as a function of </w:t>
                            </w:r>
                            <w:r w:rsidRPr="00B43C2D">
                              <w:rPr>
                                <w:i/>
                                <w:iCs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>. The link-level simulation shall use air interface configuration(s) supported by the proposal and take into account retransmission, channel estimation and phase noise impact.</w:t>
                            </w:r>
                          </w:p>
                          <w:p w14:paraId="6CC6FEA6" w14:textId="34FAB247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>Step 4: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ab/>
                            </w:r>
                            <w:r w:rsidRPr="00B43C2D">
                              <w:rPr>
                                <w:sz w:val="22"/>
                                <w:lang w:val="en-US" w:eastAsia="ja-JP"/>
                              </w:rPr>
                              <w:t>Compare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the uplink spectral efficiency values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 xml:space="preserve"> (link data rate normalized by channel bandwidth) obtained from</w:t>
                            </w:r>
                            <w:r w:rsidRPr="00B43C2D">
                              <w:rPr>
                                <w:rFonts w:eastAsia="MS Mincho"/>
                                <w:i/>
                                <w:sz w:val="22"/>
                                <w:lang w:val="en-US"/>
                              </w:rPr>
                              <w:t xml:space="preserve"> Step 3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using the associated </w:t>
                            </w:r>
                            <w:r w:rsidRPr="00B43C2D">
                              <w:rPr>
                                <w:i/>
                                <w:iCs/>
                                <w:sz w:val="22"/>
                                <w:lang w:val="en-US"/>
                              </w:rPr>
                              <w:t>SINR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value 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>ob</w:t>
                            </w:r>
                            <w:bookmarkStart w:id="3" w:name="_GoBack"/>
                            <w:bookmarkEnd w:id="3"/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 xml:space="preserve">tained from </w:t>
                            </w:r>
                            <w:r w:rsidRPr="00B43C2D">
                              <w:rPr>
                                <w:rFonts w:eastAsia="MS Mincho"/>
                                <w:i/>
                                <w:sz w:val="22"/>
                                <w:lang w:val="en-US"/>
                              </w:rPr>
                              <w:t>Step 2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 xml:space="preserve"> for </w:t>
                            </w:r>
                            <w:r w:rsidRPr="00B43C2D">
                              <w:rPr>
                                <w:rFonts w:eastAsia="Malgun Gothic"/>
                                <w:sz w:val="22"/>
                                <w:lang w:val="en-US"/>
                              </w:rPr>
                              <w:t>selected test environments</w:t>
                            </w:r>
                            <w:r w:rsidRPr="00B43C2D">
                              <w:rPr>
                                <w:rFonts w:eastAsia="MS Mincho"/>
                                <w:sz w:val="22"/>
                                <w:lang w:val="en-US"/>
                              </w:rPr>
                              <w:t xml:space="preserve">, 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>with the corresponding threshold values in the Table 4 of Report ITU-R M.2410 [2].</w:t>
                            </w:r>
                          </w:p>
                          <w:p w14:paraId="29240A1C" w14:textId="50FBD05F" w:rsidR="00533C31" w:rsidRPr="00B43C2D" w:rsidRDefault="00533C31" w:rsidP="00533C31">
                            <w:pPr>
                              <w:pStyle w:val="enumlev1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lang w:val="en-US"/>
                              </w:rPr>
                            </w:pP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 xml:space="preserve">Step 5: </w:t>
                            </w:r>
                            <w:r w:rsidRPr="00B43C2D">
                              <w:rPr>
                                <w:i/>
                                <w:sz w:val="22"/>
                                <w:lang w:val="en-US"/>
                              </w:rPr>
                              <w:tab/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The proposal fulfils the mobility requirement if the spectral efficiency value is larger than </w:t>
                            </w:r>
                            <w:r w:rsidRPr="00B43C2D">
                              <w:rPr>
                                <w:sz w:val="22"/>
                                <w:lang w:val="en-US" w:eastAsia="ja-JP"/>
                              </w:rPr>
                              <w:t>or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equal to the corresponding threshold value and if also the residual decoded packet error ratio is less than 1%, for all selected test environments. For the selected test </w:t>
                            </w:r>
                            <w:r w:rsidR="004670A1" w:rsidRPr="00B43C2D">
                              <w:rPr>
                                <w:sz w:val="22"/>
                                <w:lang w:val="en-US"/>
                              </w:rPr>
                              <w:t>environment,</w:t>
                            </w:r>
                            <w:r w:rsidRPr="00B43C2D">
                              <w:rPr>
                                <w:sz w:val="22"/>
                                <w:lang w:val="en-US"/>
                              </w:rPr>
                              <w:t xml:space="preserve"> it is sufficient if one of the spectral efficiency values (using either NLOS or LOS channel conditions) fulfils the threshold.</w:t>
                            </w:r>
                          </w:p>
                          <w:p w14:paraId="50D0CE9F" w14:textId="7D08B230" w:rsidR="00533C31" w:rsidRPr="00B43C2D" w:rsidRDefault="00533C31" w:rsidP="00D163D6">
                            <w:pPr>
                              <w:rPr>
                                <w:rFonts w:eastAsia="MS Mincho"/>
                                <w:sz w:val="21"/>
                                <w:szCs w:val="2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8988B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ETC2hU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36199FF0" w14:textId="77777777" w:rsidR="00533C31" w:rsidRPr="00B43C2D" w:rsidRDefault="00533C31" w:rsidP="00D163D6">
                      <w:pPr>
                        <w:ind w:left="360"/>
                        <w:rPr>
                          <w:sz w:val="22"/>
                        </w:rPr>
                      </w:pPr>
                      <w:r w:rsidRPr="00B43C2D">
                        <w:rPr>
                          <w:sz w:val="22"/>
                        </w:rPr>
                        <w:t>The evaluator shall perform the following steps in order to evaluate the mobility requirement.</w:t>
                      </w:r>
                    </w:p>
                    <w:p w14:paraId="10199C7F" w14:textId="76712AC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1: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</w:r>
                      <w:r w:rsidRPr="00B43C2D">
                        <w:rPr>
                          <w:sz w:val="22"/>
                          <w:lang w:val="en-US" w:eastAsia="ja-JP"/>
                        </w:rPr>
                        <w:t>Run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uplink system-level simulations, identical to those for average spectral efficiency, and 5</w:t>
                      </w:r>
                      <w:r w:rsidRPr="00B43C2D">
                        <w:rPr>
                          <w:sz w:val="22"/>
                          <w:vertAlign w:val="superscript"/>
                          <w:lang w:val="en-US"/>
                        </w:rPr>
                        <w:t>th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percentile user spectral efficiency except for speeds taken from Report ITU-R M.2410 [2], using link</w:t>
                      </w:r>
                      <w:r w:rsidRPr="00B43C2D">
                        <w:rPr>
                          <w:rFonts w:eastAsia="MS Mincho"/>
                          <w:sz w:val="22"/>
                          <w:lang w:val="en-US" w:eastAsia="ja-JP"/>
                        </w:rPr>
                        <w:t>-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level simulations and a link-to-system interface appropriate for these speed values, for the set of selected test environment(s) associated with the candidate RITs/SRITs and collect overall statistics for uplink </w:t>
                      </w:r>
                      <w:r w:rsidRPr="00B43C2D">
                        <w:rPr>
                          <w:i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values, and construct CDF over these values for each test environment.</w:t>
                      </w:r>
                    </w:p>
                    <w:p w14:paraId="4195739A" w14:textId="7777777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2: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  <w:t>Use the CDF for the test environment(s) to save the respective 50</w:t>
                      </w:r>
                      <w:r w:rsidRPr="00B43C2D">
                        <w:rPr>
                          <w:sz w:val="22"/>
                          <w:vertAlign w:val="superscript"/>
                          <w:lang w:val="en-US"/>
                        </w:rPr>
                        <w:t>th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-percentile </w:t>
                      </w:r>
                      <w:r w:rsidRPr="00B43C2D">
                        <w:rPr>
                          <w:i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value.</w:t>
                      </w:r>
                    </w:p>
                    <w:p w14:paraId="1D80AF04" w14:textId="1C5F592A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3: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  <w:t>Run new uplink link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>-</w:t>
                      </w:r>
                      <w:r w:rsidRPr="00B43C2D">
                        <w:rPr>
                          <w:sz w:val="22"/>
                          <w:lang w:val="en-US"/>
                        </w:rPr>
                        <w:t>level simulations for the selected test environment(s) for either NLOS or LOS channel conditions using the associated speeds in Table 4 of Report ITU</w:t>
                      </w:r>
                      <w:r w:rsidRPr="00B43C2D">
                        <w:rPr>
                          <w:sz w:val="22"/>
                          <w:lang w:val="en-US"/>
                        </w:rPr>
                        <w:noBreakHyphen/>
                        <w:t xml:space="preserve">R M.2410 [2], as input parameters, to obtain link data rate and residual packet error ratio as a function of </w:t>
                      </w:r>
                      <w:r w:rsidRPr="00B43C2D">
                        <w:rPr>
                          <w:i/>
                          <w:iCs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>. The link-level simulation shall use air interface configuration(s) supported by the proposal and take into account retransmission, channel estimation and phase noise impact.</w:t>
                      </w:r>
                    </w:p>
                    <w:p w14:paraId="6CC6FEA6" w14:textId="34FAB247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>Step 4: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</w:t>
                      </w:r>
                      <w:r w:rsidRPr="00B43C2D">
                        <w:rPr>
                          <w:sz w:val="22"/>
                          <w:lang w:val="en-US"/>
                        </w:rPr>
                        <w:tab/>
                      </w:r>
                      <w:r w:rsidRPr="00B43C2D">
                        <w:rPr>
                          <w:sz w:val="22"/>
                          <w:lang w:val="en-US" w:eastAsia="ja-JP"/>
                        </w:rPr>
                        <w:t>Compare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the uplink spectral efficiency values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 (link data rate normalized by channel bandwidth) obtained from</w:t>
                      </w:r>
                      <w:r w:rsidRPr="00B43C2D">
                        <w:rPr>
                          <w:rFonts w:eastAsia="MS Mincho"/>
                          <w:i/>
                          <w:sz w:val="22"/>
                          <w:lang w:val="en-US"/>
                        </w:rPr>
                        <w:t xml:space="preserve"> Step 3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using the associated </w:t>
                      </w:r>
                      <w:r w:rsidRPr="00B43C2D">
                        <w:rPr>
                          <w:i/>
                          <w:iCs/>
                          <w:sz w:val="22"/>
                          <w:lang w:val="en-US"/>
                        </w:rPr>
                        <w:t>SINR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value 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obtained from </w:t>
                      </w:r>
                      <w:r w:rsidRPr="00B43C2D">
                        <w:rPr>
                          <w:rFonts w:eastAsia="MS Mincho"/>
                          <w:i/>
                          <w:sz w:val="22"/>
                          <w:lang w:val="en-US"/>
                        </w:rPr>
                        <w:t>Step 2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 for </w:t>
                      </w:r>
                      <w:r w:rsidRPr="00B43C2D">
                        <w:rPr>
                          <w:rFonts w:eastAsia="Malgun Gothic"/>
                          <w:sz w:val="22"/>
                          <w:lang w:val="en-US"/>
                        </w:rPr>
                        <w:t>selected test environments</w:t>
                      </w:r>
                      <w:r w:rsidRPr="00B43C2D">
                        <w:rPr>
                          <w:rFonts w:eastAsia="MS Mincho"/>
                          <w:sz w:val="22"/>
                          <w:lang w:val="en-US"/>
                        </w:rPr>
                        <w:t xml:space="preserve">, </w:t>
                      </w:r>
                      <w:r w:rsidRPr="00B43C2D">
                        <w:rPr>
                          <w:sz w:val="22"/>
                          <w:lang w:val="en-US"/>
                        </w:rPr>
                        <w:t>with the corresponding threshold values in the Table 4 of Report ITU-R M.2410 [2].</w:t>
                      </w:r>
                    </w:p>
                    <w:p w14:paraId="29240A1C" w14:textId="50FBD05F" w:rsidR="00533C31" w:rsidRPr="00B43C2D" w:rsidRDefault="00533C31" w:rsidP="00533C31">
                      <w:pPr>
                        <w:pStyle w:val="enumlev1"/>
                        <w:numPr>
                          <w:ilvl w:val="0"/>
                          <w:numId w:val="36"/>
                        </w:numPr>
                        <w:rPr>
                          <w:sz w:val="22"/>
                          <w:lang w:val="en-US"/>
                        </w:rPr>
                      </w:pPr>
                      <w:r w:rsidRPr="00B43C2D">
                        <w:rPr>
                          <w:i/>
                          <w:sz w:val="22"/>
                          <w:lang w:val="en-US"/>
                        </w:rPr>
                        <w:t xml:space="preserve">Step 5: </w:t>
                      </w:r>
                      <w:r w:rsidRPr="00B43C2D">
                        <w:rPr>
                          <w:i/>
                          <w:sz w:val="22"/>
                          <w:lang w:val="en-US"/>
                        </w:rPr>
                        <w:tab/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The proposal fulfils the mobility requirement if the spectral efficiency value is larger than </w:t>
                      </w:r>
                      <w:r w:rsidRPr="00B43C2D">
                        <w:rPr>
                          <w:sz w:val="22"/>
                          <w:lang w:val="en-US" w:eastAsia="ja-JP"/>
                        </w:rPr>
                        <w:t>or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equal to the corresponding threshold value and if also the residual decoded packet error ratio is less than 1%, for all selected test environments. For the selected test </w:t>
                      </w:r>
                      <w:r w:rsidR="004670A1" w:rsidRPr="00B43C2D">
                        <w:rPr>
                          <w:sz w:val="22"/>
                          <w:lang w:val="en-US"/>
                        </w:rPr>
                        <w:t>environment,</w:t>
                      </w:r>
                      <w:r w:rsidRPr="00B43C2D">
                        <w:rPr>
                          <w:sz w:val="22"/>
                          <w:lang w:val="en-US"/>
                        </w:rPr>
                        <w:t xml:space="preserve"> it is sufficient if one of the spectral efficiency values (using either NLOS or LOS channel conditions) fulfils the threshold.</w:t>
                      </w:r>
                    </w:p>
                    <w:p w14:paraId="50D0CE9F" w14:textId="7D08B230" w:rsidR="00533C31" w:rsidRPr="00B43C2D" w:rsidRDefault="00533C31" w:rsidP="00D163D6">
                      <w:pPr>
                        <w:rPr>
                          <w:rFonts w:eastAsia="MS Mincho"/>
                          <w:sz w:val="21"/>
                          <w:szCs w:val="22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AD6C6" w14:textId="0BB4EB30" w:rsidR="00ED2F70" w:rsidRDefault="00ED2F70" w:rsidP="00B03DC1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B43C2D">
        <w:rPr>
          <w:rFonts w:eastAsia="宋体" w:hint="eastAsia"/>
          <w:bCs/>
          <w:sz w:val="22"/>
          <w:szCs w:val="20"/>
          <w:lang w:eastAsia="zh-CN"/>
        </w:rPr>
        <w:t xml:space="preserve">At the RAN1#92bis meeting, </w:t>
      </w:r>
      <w:r w:rsidR="002F6760" w:rsidRPr="00B43C2D">
        <w:rPr>
          <w:rFonts w:eastAsia="宋体"/>
          <w:bCs/>
          <w:sz w:val="22"/>
          <w:szCs w:val="20"/>
          <w:lang w:eastAsia="zh-CN"/>
        </w:rPr>
        <w:t>the pre-processing SINR calculation method is agreed in [3]</w:t>
      </w:r>
      <w:r w:rsidR="00D37E84" w:rsidRPr="00B43C2D">
        <w:rPr>
          <w:rFonts w:eastAsia="宋体"/>
          <w:bCs/>
          <w:sz w:val="22"/>
          <w:szCs w:val="20"/>
          <w:lang w:eastAsia="zh-CN"/>
        </w:rPr>
        <w:t xml:space="preserve"> to simplify the evaluation complexity of link level simulation. Based on the agreed SINR calculation method, we present </w:t>
      </w:r>
      <w:r w:rsidR="00213DE8">
        <w:rPr>
          <w:rFonts w:eastAsia="宋体"/>
          <w:bCs/>
          <w:sz w:val="22"/>
          <w:szCs w:val="20"/>
          <w:lang w:eastAsia="zh-CN"/>
        </w:rPr>
        <w:t xml:space="preserve">both </w:t>
      </w:r>
      <w:r w:rsidR="00D37E84" w:rsidRPr="00B43C2D">
        <w:rPr>
          <w:rFonts w:eastAsia="宋体"/>
          <w:bCs/>
          <w:sz w:val="22"/>
          <w:szCs w:val="20"/>
          <w:lang w:eastAsia="zh-CN"/>
        </w:rPr>
        <w:t>the CDF of pre-processing SINR</w:t>
      </w:r>
      <w:r w:rsidR="00213DE8">
        <w:rPr>
          <w:rFonts w:eastAsia="宋体"/>
          <w:bCs/>
          <w:sz w:val="22"/>
          <w:szCs w:val="20"/>
          <w:lang w:eastAsia="zh-CN"/>
        </w:rPr>
        <w:t xml:space="preserve"> and data rate</w:t>
      </w:r>
      <w:r w:rsidR="00D37E84" w:rsidRPr="00B43C2D">
        <w:rPr>
          <w:rFonts w:eastAsia="宋体"/>
          <w:bCs/>
          <w:sz w:val="22"/>
          <w:szCs w:val="20"/>
          <w:lang w:eastAsia="zh-CN"/>
        </w:rPr>
        <w:t xml:space="preserve"> of each test envir</w:t>
      </w:r>
      <w:r w:rsidR="00C50E55">
        <w:rPr>
          <w:rFonts w:eastAsia="宋体"/>
          <w:bCs/>
          <w:sz w:val="22"/>
          <w:szCs w:val="20"/>
          <w:lang w:eastAsia="zh-CN"/>
        </w:rPr>
        <w:t>o</w:t>
      </w:r>
      <w:r w:rsidR="00D37E84" w:rsidRPr="00B43C2D">
        <w:rPr>
          <w:rFonts w:eastAsia="宋体"/>
          <w:bCs/>
          <w:sz w:val="22"/>
          <w:szCs w:val="20"/>
          <w:lang w:eastAsia="zh-CN"/>
        </w:rPr>
        <w:t xml:space="preserve">nments. </w:t>
      </w:r>
      <w:r w:rsidR="00D37E84">
        <w:rPr>
          <w:rFonts w:eastAsia="宋体"/>
          <w:bCs/>
          <w:sz w:val="22"/>
          <w:szCs w:val="20"/>
          <w:lang w:eastAsia="zh-CN"/>
        </w:rPr>
        <w:t xml:space="preserve">  </w:t>
      </w:r>
      <w:r w:rsidR="002F6760">
        <w:rPr>
          <w:rFonts w:eastAsia="宋体"/>
          <w:bCs/>
          <w:sz w:val="22"/>
          <w:szCs w:val="20"/>
          <w:lang w:eastAsia="zh-CN"/>
        </w:rPr>
        <w:t xml:space="preserve"> </w:t>
      </w: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宋体" w:cs="Arial"/>
          <w:b/>
          <w:sz w:val="24"/>
          <w:szCs w:val="22"/>
          <w:lang w:val="en-US" w:eastAsia="zh-CN"/>
        </w:rPr>
        <w:t>R</w:t>
      </w:r>
      <w:r w:rsidR="003B6EB9">
        <w:rPr>
          <w:rFonts w:eastAsia="宋体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宋体" w:cs="Arial"/>
          <w:b/>
          <w:sz w:val="24"/>
          <w:szCs w:val="22"/>
          <w:lang w:val="en-US" w:eastAsia="zh-CN"/>
        </w:rPr>
        <w:t>s</w:t>
      </w:r>
    </w:p>
    <w:p w14:paraId="3AF7A1C5" w14:textId="22293626" w:rsidR="00EC0C8D" w:rsidRDefault="00EC0C8D" w:rsidP="00EC0C8D">
      <w:pPr>
        <w:rPr>
          <w:sz w:val="22"/>
        </w:rPr>
      </w:pPr>
      <w:r w:rsidRPr="00B43C2D">
        <w:rPr>
          <w:rFonts w:eastAsia="宋体" w:hint="eastAsia"/>
          <w:bCs/>
          <w:sz w:val="22"/>
          <w:lang w:eastAsia="zh-CN"/>
        </w:rPr>
        <w:t xml:space="preserve">ITU-R provides the requirement of data rate on uplink </w:t>
      </w:r>
      <w:r w:rsidRPr="00B43C2D">
        <w:rPr>
          <w:rFonts w:eastAsia="宋体"/>
          <w:bCs/>
          <w:sz w:val="22"/>
          <w:lang w:eastAsia="zh-CN"/>
        </w:rPr>
        <w:t xml:space="preserve">in following table [2], which assumes the user is moving at the maximum speed in that mobility class in each of the test environments. </w:t>
      </w:r>
      <w:r w:rsidR="0047438A">
        <w:rPr>
          <w:rFonts w:eastAsia="宋体"/>
          <w:bCs/>
          <w:sz w:val="22"/>
          <w:lang w:eastAsia="zh-CN"/>
        </w:rPr>
        <w:t>Meanwhile, the BLER</w:t>
      </w:r>
      <w:r w:rsidR="00923D18">
        <w:rPr>
          <w:rFonts w:eastAsia="宋体"/>
          <w:bCs/>
          <w:sz w:val="22"/>
          <w:lang w:eastAsia="zh-CN"/>
        </w:rPr>
        <w:t xml:space="preserve"> should be less than 1%. </w:t>
      </w:r>
      <w:r w:rsidRPr="003A563C">
        <w:rPr>
          <w:sz w:val="22"/>
        </w:rPr>
        <w:t>This requirement is defined for the purpose of evaluation in the eMBB usage scenario.</w:t>
      </w:r>
    </w:p>
    <w:p w14:paraId="02E26FC4" w14:textId="7FAE6A01" w:rsidR="00291868" w:rsidRDefault="00291868" w:rsidP="00EC0C8D">
      <w:pPr>
        <w:rPr>
          <w:sz w:val="22"/>
        </w:rPr>
      </w:pP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lastRenderedPageBreak/>
        <w:t xml:space="preserve">TABLE </w:t>
      </w:r>
      <w:r>
        <w:rPr>
          <w:caps/>
          <w:sz w:val="20"/>
          <w:lang w:eastAsia="ja-JP"/>
        </w:rPr>
        <w:t>1</w:t>
      </w:r>
    </w:p>
    <w:p w14:paraId="2159F9B4" w14:textId="77777777" w:rsidR="00EC0C8D" w:rsidRPr="005A47AE" w:rsidRDefault="00EC0C8D" w:rsidP="00EC0C8D">
      <w:pPr>
        <w:pStyle w:val="Tabletitle"/>
        <w:rPr>
          <w:lang w:val="en-US" w:eastAsia="ja-JP"/>
        </w:rPr>
      </w:pPr>
      <w:r w:rsidRPr="005A47AE">
        <w:rPr>
          <w:lang w:val="en-US"/>
        </w:rPr>
        <w:t>Traffic channel link data rates</w:t>
      </w:r>
      <w:r w:rsidRPr="005A47AE">
        <w:rPr>
          <w:lang w:val="en-US" w:eastAsia="ja-JP"/>
        </w:rPr>
        <w:t xml:space="preserve"> normalized by bandwidth</w:t>
      </w:r>
    </w:p>
    <w:tbl>
      <w:tblPr>
        <w:tblStyle w:val="afd"/>
        <w:tblW w:w="0" w:type="auto"/>
        <w:tblLook w:val="01E0" w:firstRow="1" w:lastRow="1" w:firstColumn="1" w:lastColumn="1" w:noHBand="0" w:noVBand="0"/>
      </w:tblPr>
      <w:tblGrid>
        <w:gridCol w:w="3210"/>
        <w:gridCol w:w="3211"/>
        <w:gridCol w:w="3208"/>
      </w:tblGrid>
      <w:tr w:rsidR="00EC0C8D" w:rsidRPr="005A47AE" w14:paraId="215299D3" w14:textId="77777777" w:rsidTr="008B4AD9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996" w14:textId="77777777" w:rsidR="00EC0C8D" w:rsidRPr="003A563C" w:rsidRDefault="00EC0C8D" w:rsidP="008B4AD9">
            <w:pPr>
              <w:pStyle w:val="Tablehead"/>
              <w:spacing w:before="20" w:after="20"/>
              <w:rPr>
                <w:sz w:val="22"/>
                <w:szCs w:val="22"/>
                <w:lang w:val="en-US"/>
              </w:rPr>
            </w:pPr>
            <w:r w:rsidRPr="003A563C">
              <w:rPr>
                <w:sz w:val="22"/>
                <w:szCs w:val="22"/>
                <w:lang w:val="en-US"/>
              </w:rPr>
              <w:t>Test environment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2600" w14:textId="77777777" w:rsidR="00EC0C8D" w:rsidRPr="003A563C" w:rsidRDefault="00EC0C8D" w:rsidP="008B4AD9">
            <w:pPr>
              <w:pStyle w:val="Tablehead"/>
              <w:spacing w:before="20" w:after="20"/>
              <w:rPr>
                <w:sz w:val="22"/>
                <w:szCs w:val="22"/>
              </w:rPr>
            </w:pPr>
            <w:r w:rsidRPr="003A563C">
              <w:rPr>
                <w:sz w:val="22"/>
                <w:szCs w:val="22"/>
                <w:lang w:val="en-US"/>
              </w:rPr>
              <w:t>Normalized traffic channel link data rate</w:t>
            </w:r>
            <w:r w:rsidRPr="003A563C">
              <w:rPr>
                <w:sz w:val="22"/>
                <w:szCs w:val="22"/>
                <w:lang w:val="en-US" w:eastAsia="ja-JP"/>
              </w:rPr>
              <w:t xml:space="preserve"> (</w:t>
            </w:r>
            <w:r w:rsidRPr="003A563C">
              <w:rPr>
                <w:sz w:val="22"/>
                <w:szCs w:val="22"/>
              </w:rPr>
              <w:t>Bit/s/Hz)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A4EB" w14:textId="77777777" w:rsidR="00EC0C8D" w:rsidRPr="003A563C" w:rsidRDefault="00EC0C8D" w:rsidP="008B4AD9">
            <w:pPr>
              <w:pStyle w:val="Tablehead"/>
              <w:spacing w:before="20" w:after="20"/>
              <w:rPr>
                <w:sz w:val="22"/>
                <w:szCs w:val="22"/>
                <w:lang w:val="en-US"/>
              </w:rPr>
            </w:pPr>
            <w:r w:rsidRPr="003A563C">
              <w:rPr>
                <w:sz w:val="22"/>
                <w:szCs w:val="22"/>
                <w:lang w:val="en-US"/>
              </w:rPr>
              <w:t>Mobility (km/h)</w:t>
            </w:r>
          </w:p>
        </w:tc>
      </w:tr>
      <w:tr w:rsidR="00EC0C8D" w:rsidRPr="005A47AE" w14:paraId="7788E990" w14:textId="77777777" w:rsidTr="008B4AD9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DF2" w14:textId="77777777" w:rsidR="00EC0C8D" w:rsidRPr="003A563C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Indoor</w:t>
            </w:r>
            <w:r w:rsidRPr="003A563C">
              <w:rPr>
                <w:sz w:val="22"/>
                <w:szCs w:val="22"/>
                <w:lang w:val="en-US" w:eastAsia="ja-JP"/>
              </w:rPr>
              <w:t xml:space="preserve"> Hotspot – eMBB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2E4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</w:rPr>
              <w:t>1.5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6E9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10</w:t>
            </w:r>
          </w:p>
        </w:tc>
      </w:tr>
      <w:tr w:rsidR="00EC0C8D" w:rsidRPr="005A47AE" w14:paraId="57B476E9" w14:textId="77777777" w:rsidTr="008B4AD9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401B" w14:textId="77777777" w:rsidR="00EC0C8D" w:rsidRPr="003A563C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Dense Urban – eMBB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351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</w:rPr>
              <w:t>1.12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6FC3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30</w:t>
            </w:r>
          </w:p>
        </w:tc>
      </w:tr>
      <w:tr w:rsidR="00EC0C8D" w:rsidRPr="005A47AE" w14:paraId="20C5D2A0" w14:textId="77777777" w:rsidTr="008B4AD9"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2B823" w14:textId="77777777" w:rsidR="00EC0C8D" w:rsidRPr="003A563C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Rural – eMBB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FB58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</w:rPr>
              <w:t>0.8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36A2" w14:textId="77777777" w:rsidR="00EC0C8D" w:rsidRPr="003A563C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 w:eastAsia="ja-JP"/>
              </w:rPr>
              <w:t>120</w:t>
            </w:r>
          </w:p>
        </w:tc>
      </w:tr>
      <w:tr w:rsidR="00EC0C8D" w:rsidRPr="005A47AE" w14:paraId="1B3DFC5B" w14:textId="77777777" w:rsidTr="008B4AD9">
        <w:tc>
          <w:tcPr>
            <w:tcW w:w="3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FB92" w14:textId="77777777" w:rsidR="00EC0C8D" w:rsidRPr="00075708" w:rsidRDefault="00EC0C8D" w:rsidP="008B4AD9">
            <w:pPr>
              <w:pStyle w:val="Tabletext0"/>
              <w:spacing w:before="20" w:after="20"/>
              <w:rPr>
                <w:sz w:val="22"/>
                <w:szCs w:val="22"/>
                <w:lang w:val="en-US" w:eastAsia="ja-JP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F9C3" w14:textId="77777777" w:rsidR="00EC0C8D" w:rsidRPr="00075708" w:rsidRDefault="00EC0C8D" w:rsidP="008B4AD9">
            <w:pPr>
              <w:pStyle w:val="Tabletext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</w:rPr>
              <w:t>0.45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92FE" w14:textId="77777777" w:rsidR="00EC0C8D" w:rsidRPr="00075708" w:rsidRDefault="00EC0C8D" w:rsidP="008B4AD9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 w:eastAsia="ja-JP"/>
              </w:rPr>
              <w:t>500</w:t>
            </w:r>
          </w:p>
        </w:tc>
      </w:tr>
    </w:tbl>
    <w:p w14:paraId="3406FFFB" w14:textId="77777777" w:rsidR="00EC0C8D" w:rsidRDefault="00EC0C8D" w:rsidP="00EC0C8D">
      <w:pPr>
        <w:pStyle w:val="Tablefin"/>
      </w:pPr>
    </w:p>
    <w:p w14:paraId="6C4586A9" w14:textId="220F20BB" w:rsidR="00FD0856" w:rsidRDefault="009C4040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System level e</w:t>
      </w:r>
      <w:r w:rsidR="00A658EC">
        <w:rPr>
          <w:rFonts w:eastAsia="宋体" w:cs="Arial"/>
          <w:b/>
          <w:sz w:val="24"/>
          <w:szCs w:val="22"/>
          <w:lang w:val="en-US" w:eastAsia="zh-CN"/>
        </w:rPr>
        <w:t xml:space="preserve">valuation of </w:t>
      </w:r>
      <w:r w:rsidR="00FE6784">
        <w:rPr>
          <w:rFonts w:eastAsia="宋体" w:cs="Arial"/>
          <w:b/>
          <w:sz w:val="24"/>
          <w:szCs w:val="22"/>
          <w:lang w:val="en-US" w:eastAsia="zh-CN"/>
        </w:rPr>
        <w:t xml:space="preserve">UL pre-processing SINR </w:t>
      </w:r>
    </w:p>
    <w:p w14:paraId="5FE01562" w14:textId="39676001" w:rsidR="00F3160A" w:rsidRPr="00B43C2D" w:rsidRDefault="00314F47" w:rsidP="007D2C14">
      <w:pPr>
        <w:snapToGrid w:val="0"/>
        <w:spacing w:before="120" w:after="120"/>
        <w:jc w:val="both"/>
        <w:rPr>
          <w:bCs/>
          <w:sz w:val="22"/>
        </w:rPr>
      </w:pPr>
      <w:r w:rsidRPr="00B43C2D">
        <w:rPr>
          <w:rFonts w:hint="eastAsia"/>
          <w:bCs/>
          <w:sz w:val="22"/>
          <w:szCs w:val="20"/>
        </w:rPr>
        <w:t>I</w:t>
      </w:r>
      <w:r w:rsidR="00115158" w:rsidRPr="00B43C2D">
        <w:rPr>
          <w:bCs/>
          <w:sz w:val="22"/>
          <w:szCs w:val="20"/>
        </w:rPr>
        <w:t xml:space="preserve">n this section, we provide </w:t>
      </w:r>
      <w:r w:rsidR="003C1C25" w:rsidRPr="00B43C2D">
        <w:rPr>
          <w:bCs/>
          <w:sz w:val="22"/>
          <w:szCs w:val="20"/>
        </w:rPr>
        <w:t xml:space="preserve">the </w:t>
      </w:r>
      <w:r w:rsidR="00287EAE">
        <w:rPr>
          <w:bCs/>
          <w:sz w:val="22"/>
          <w:szCs w:val="20"/>
        </w:rPr>
        <w:t>evaluation</w:t>
      </w:r>
      <w:r w:rsidR="00287EAE" w:rsidRPr="00B43C2D">
        <w:rPr>
          <w:bCs/>
          <w:sz w:val="22"/>
          <w:szCs w:val="20"/>
        </w:rPr>
        <w:t xml:space="preserve"> </w:t>
      </w:r>
      <w:r w:rsidR="003C1C25" w:rsidRPr="00B43C2D">
        <w:rPr>
          <w:bCs/>
          <w:sz w:val="22"/>
          <w:szCs w:val="20"/>
        </w:rPr>
        <w:t>results of</w:t>
      </w:r>
      <w:r w:rsidR="00D163D6" w:rsidRPr="00B43C2D">
        <w:rPr>
          <w:bCs/>
          <w:sz w:val="22"/>
          <w:szCs w:val="20"/>
        </w:rPr>
        <w:t xml:space="preserve"> UL pre-processing </w:t>
      </w:r>
      <w:r w:rsidR="00D163D6" w:rsidRPr="00B43C2D">
        <w:rPr>
          <w:bCs/>
          <w:sz w:val="22"/>
        </w:rPr>
        <w:t xml:space="preserve">SINR on </w:t>
      </w:r>
      <w:r w:rsidR="00D163D6" w:rsidRPr="00B43C2D">
        <w:rPr>
          <w:sz w:val="22"/>
        </w:rPr>
        <w:t>Indoor</w:t>
      </w:r>
      <w:r w:rsidR="00D163D6" w:rsidRPr="00B43C2D">
        <w:rPr>
          <w:sz w:val="22"/>
          <w:lang w:eastAsia="ja-JP"/>
        </w:rPr>
        <w:t xml:space="preserve"> Hotspot – eMBB,</w:t>
      </w:r>
      <w:r w:rsidR="00D163D6" w:rsidRPr="00B43C2D">
        <w:rPr>
          <w:bCs/>
          <w:sz w:val="22"/>
        </w:rPr>
        <w:t xml:space="preserve"> </w:t>
      </w:r>
      <w:r w:rsidR="003C1C25" w:rsidRPr="00B43C2D">
        <w:rPr>
          <w:bCs/>
          <w:sz w:val="22"/>
        </w:rPr>
        <w:t>Dense Urban–eMBB</w:t>
      </w:r>
      <w:r w:rsidR="007D2C14" w:rsidRPr="00B43C2D">
        <w:rPr>
          <w:bCs/>
          <w:sz w:val="22"/>
        </w:rPr>
        <w:t xml:space="preserve"> </w:t>
      </w:r>
      <w:r w:rsidR="00D163D6" w:rsidRPr="00B43C2D">
        <w:rPr>
          <w:bCs/>
          <w:sz w:val="22"/>
        </w:rPr>
        <w:t xml:space="preserve">and </w:t>
      </w:r>
      <w:r w:rsidR="00D163D6" w:rsidRPr="00B43C2D">
        <w:rPr>
          <w:sz w:val="22"/>
          <w:lang w:eastAsia="ja-JP"/>
        </w:rPr>
        <w:t>Rural – eMBB</w:t>
      </w:r>
      <w:r w:rsidR="00EF5A56" w:rsidRPr="00B43C2D">
        <w:rPr>
          <w:bCs/>
          <w:sz w:val="22"/>
        </w:rPr>
        <w:t>.</w:t>
      </w:r>
    </w:p>
    <w:p w14:paraId="2B42087B" w14:textId="5F87ABB1" w:rsidR="00D163D6" w:rsidRPr="00B43C2D" w:rsidRDefault="00F624EB" w:rsidP="002A46B0">
      <w:pPr>
        <w:rPr>
          <w:sz w:val="22"/>
        </w:rPr>
      </w:pPr>
      <w:r w:rsidRPr="00B43C2D">
        <w:rPr>
          <w:sz w:val="22"/>
        </w:rPr>
        <w:t>In</w:t>
      </w:r>
      <w:r w:rsidRPr="00B43C2D">
        <w:rPr>
          <w:rFonts w:hint="eastAsia"/>
          <w:sz w:val="22"/>
        </w:rPr>
        <w:t xml:space="preserve"> </w:t>
      </w:r>
      <w:r w:rsidRPr="00B43C2D">
        <w:rPr>
          <w:sz w:val="22"/>
        </w:rPr>
        <w:fldChar w:fldCharType="begin"/>
      </w:r>
      <w:r w:rsidRPr="00B43C2D">
        <w:rPr>
          <w:sz w:val="22"/>
        </w:rPr>
        <w:instrText xml:space="preserve"> </w:instrText>
      </w:r>
      <w:r w:rsidRPr="00B43C2D">
        <w:rPr>
          <w:rFonts w:hint="eastAsia"/>
          <w:sz w:val="22"/>
        </w:rPr>
        <w:instrText>REF _Ref505949255 \h</w:instrText>
      </w:r>
      <w:r w:rsidRPr="00B43C2D">
        <w:rPr>
          <w:sz w:val="22"/>
        </w:rPr>
        <w:instrText xml:space="preserve">  \* MERGEFORMAT </w:instrText>
      </w:r>
      <w:r w:rsidRPr="00B43C2D">
        <w:rPr>
          <w:sz w:val="22"/>
        </w:rPr>
      </w:r>
      <w:r w:rsidRPr="00B43C2D">
        <w:rPr>
          <w:sz w:val="22"/>
        </w:rPr>
        <w:fldChar w:fldCharType="separate"/>
      </w:r>
      <w:r w:rsidRPr="00B43C2D">
        <w:rPr>
          <w:sz w:val="22"/>
        </w:rPr>
        <w:t>Figure 1</w:t>
      </w:r>
      <w:r w:rsidRPr="00B43C2D">
        <w:rPr>
          <w:sz w:val="22"/>
        </w:rPr>
        <w:fldChar w:fldCharType="end"/>
      </w:r>
      <w:r w:rsidRPr="00B43C2D">
        <w:rPr>
          <w:sz w:val="22"/>
        </w:rPr>
        <w:t xml:space="preserve">, </w:t>
      </w:r>
      <w:r w:rsidRPr="00B43C2D">
        <w:rPr>
          <w:rFonts w:hint="eastAsia"/>
          <w:sz w:val="22"/>
        </w:rPr>
        <w:t>t</w:t>
      </w:r>
      <w:bookmarkStart w:id="4" w:name="_Hlk513729810"/>
      <w:r w:rsidRPr="00B43C2D">
        <w:rPr>
          <w:rFonts w:hint="eastAsia"/>
          <w:sz w:val="22"/>
        </w:rPr>
        <w:t>he</w:t>
      </w:r>
      <w:r w:rsidR="00E146EC" w:rsidRPr="00B43C2D">
        <w:rPr>
          <w:sz w:val="22"/>
        </w:rPr>
        <w:t xml:space="preserve"> CDF curve</w:t>
      </w:r>
      <w:r w:rsidRPr="00B43C2D">
        <w:rPr>
          <w:sz w:val="22"/>
        </w:rPr>
        <w:t xml:space="preserve"> for UL pre-processing SINR on Dense Urban-eMBB</w:t>
      </w:r>
      <w:bookmarkEnd w:id="4"/>
      <w:r w:rsidRPr="00B43C2D">
        <w:rPr>
          <w:sz w:val="22"/>
        </w:rPr>
        <w:t xml:space="preserve"> </w:t>
      </w:r>
      <w:r w:rsidR="00E146EC" w:rsidRPr="00B43C2D">
        <w:rPr>
          <w:sz w:val="22"/>
        </w:rPr>
        <w:t>is</w:t>
      </w:r>
      <w:r w:rsidRPr="00B43C2D">
        <w:rPr>
          <w:sz w:val="22"/>
        </w:rPr>
        <w:t xml:space="preserve"> provided</w:t>
      </w:r>
      <w:r w:rsidRPr="00B43C2D">
        <w:rPr>
          <w:rFonts w:hint="eastAsia"/>
          <w:sz w:val="22"/>
        </w:rPr>
        <w:t>.</w:t>
      </w:r>
      <w:r w:rsidR="003B176F" w:rsidRPr="00B43C2D">
        <w:rPr>
          <w:sz w:val="22"/>
        </w:rPr>
        <w:t xml:space="preserve"> </w:t>
      </w:r>
      <w:r w:rsidR="00287EAE">
        <w:rPr>
          <w:sz w:val="22"/>
        </w:rPr>
        <w:t>In the evaluation, the power control parameter</w:t>
      </w:r>
      <w:r w:rsidR="00EE5613">
        <w:rPr>
          <w:sz w:val="22"/>
        </w:rPr>
        <w:t>s</w:t>
      </w:r>
      <w:r w:rsidR="00287EAE">
        <w:rPr>
          <w:sz w:val="22"/>
        </w:rPr>
        <w:t xml:space="preserve"> of </w:t>
      </w:r>
      <w:r w:rsidR="00287EAE">
        <w:rPr>
          <w:rFonts w:eastAsia="宋体"/>
          <w:kern w:val="2"/>
          <w:sz w:val="22"/>
          <w:szCs w:val="22"/>
          <w:lang w:eastAsia="zh-CN"/>
        </w:rPr>
        <w:t>Alpha = 0.6</w:t>
      </w:r>
      <w:r w:rsidR="00EE5613">
        <w:rPr>
          <w:rFonts w:eastAsia="宋体"/>
          <w:kern w:val="2"/>
          <w:sz w:val="22"/>
          <w:szCs w:val="22"/>
          <w:lang w:eastAsia="zh-CN"/>
        </w:rPr>
        <w:t xml:space="preserve"> and</w:t>
      </w:r>
      <w:r w:rsidR="00287EAE">
        <w:rPr>
          <w:rFonts w:eastAsia="宋体"/>
          <w:kern w:val="2"/>
          <w:sz w:val="22"/>
          <w:szCs w:val="22"/>
          <w:lang w:eastAsia="zh-CN"/>
        </w:rPr>
        <w:t xml:space="preserve"> P0 = -60dBm </w:t>
      </w:r>
      <w:r w:rsidR="00EE5613">
        <w:rPr>
          <w:rFonts w:eastAsia="宋体"/>
          <w:kern w:val="2"/>
          <w:sz w:val="22"/>
          <w:szCs w:val="22"/>
          <w:lang w:eastAsia="zh-CN"/>
        </w:rPr>
        <w:t>are</w:t>
      </w:r>
      <w:r w:rsidR="00287EAE">
        <w:rPr>
          <w:rFonts w:eastAsia="宋体"/>
          <w:kern w:val="2"/>
          <w:sz w:val="22"/>
          <w:szCs w:val="22"/>
          <w:lang w:eastAsia="zh-CN"/>
        </w:rPr>
        <w:t xml:space="preserve"> used. The antenna ti</w:t>
      </w:r>
      <w:r w:rsidR="0022080F">
        <w:rPr>
          <w:rFonts w:eastAsia="宋体"/>
          <w:kern w:val="2"/>
          <w:sz w:val="22"/>
          <w:szCs w:val="22"/>
          <w:lang w:eastAsia="zh-CN"/>
        </w:rPr>
        <w:t>lt</w:t>
      </w:r>
      <w:r w:rsidR="00287EAE">
        <w:rPr>
          <w:rFonts w:eastAsia="宋体"/>
          <w:kern w:val="2"/>
          <w:sz w:val="22"/>
          <w:szCs w:val="22"/>
          <w:lang w:eastAsia="zh-CN"/>
        </w:rPr>
        <w:t xml:space="preserve"> for Dense Urban-eMBB </w:t>
      </w:r>
      <w:r w:rsidR="006D6F1C">
        <w:rPr>
          <w:rFonts w:eastAsia="宋体"/>
          <w:kern w:val="2"/>
          <w:sz w:val="22"/>
          <w:szCs w:val="22"/>
          <w:lang w:eastAsia="zh-CN"/>
        </w:rPr>
        <w:t>Config. A is 108 degree.</w:t>
      </w:r>
      <w:r w:rsidR="00287EAE">
        <w:rPr>
          <w:sz w:val="22"/>
        </w:rPr>
        <w:t xml:space="preserve"> </w:t>
      </w:r>
      <w:r w:rsidR="00EC52CF" w:rsidRPr="00B43C2D">
        <w:rPr>
          <w:sz w:val="22"/>
        </w:rPr>
        <w:t>The evaluation assumption is the same as that used for evaluations on sepectrum efficiency and could be found in companion contributions [</w:t>
      </w:r>
      <w:r w:rsidR="004B4A4C" w:rsidRPr="00B43C2D">
        <w:rPr>
          <w:sz w:val="22"/>
        </w:rPr>
        <w:t>4</w:t>
      </w:r>
      <w:r w:rsidR="00EC52CF" w:rsidRPr="00B43C2D">
        <w:rPr>
          <w:sz w:val="22"/>
        </w:rPr>
        <w:t xml:space="preserve">]. </w:t>
      </w:r>
    </w:p>
    <w:p w14:paraId="15E9986F" w14:textId="559FCD8E" w:rsidR="00F624EB" w:rsidRDefault="00C15F13" w:rsidP="00C15F13">
      <w:pPr>
        <w:jc w:val="center"/>
        <w:rPr>
          <w:rFonts w:eastAsia="宋体"/>
          <w:b/>
          <w:lang w:val="en-GB" w:eastAsia="zh-CN"/>
        </w:rPr>
      </w:pPr>
      <w:r>
        <w:rPr>
          <w:rFonts w:eastAsia="宋体"/>
          <w:b/>
          <w:lang w:eastAsia="zh-CN"/>
        </w:rPr>
        <w:drawing>
          <wp:inline distT="0" distB="0" distL="0" distR="0" wp14:anchorId="46B61A91" wp14:editId="73606942">
            <wp:extent cx="4607679" cy="345576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link_Geometry_of_Dense_Urba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1944" cy="345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8E513" w14:textId="1653F28B" w:rsidR="009A10E8" w:rsidRPr="003A563C" w:rsidRDefault="009A10E8" w:rsidP="009A10E8">
      <w:pPr>
        <w:pStyle w:val="ac"/>
        <w:jc w:val="center"/>
        <w:rPr>
          <w:b w:val="0"/>
          <w:noProof w:val="0"/>
          <w:sz w:val="22"/>
          <w:szCs w:val="22"/>
        </w:rPr>
      </w:pPr>
      <w:bookmarkStart w:id="5" w:name="_Ref505949255"/>
      <w:r w:rsidRPr="003A563C">
        <w:rPr>
          <w:b w:val="0"/>
          <w:noProof w:val="0"/>
          <w:sz w:val="22"/>
          <w:szCs w:val="22"/>
        </w:rPr>
        <w:t xml:space="preserve">Figure </w:t>
      </w:r>
      <w:r w:rsidRPr="003A563C">
        <w:rPr>
          <w:b w:val="0"/>
          <w:noProof w:val="0"/>
          <w:sz w:val="22"/>
          <w:szCs w:val="22"/>
        </w:rPr>
        <w:fldChar w:fldCharType="begin"/>
      </w:r>
      <w:r w:rsidRPr="003A563C">
        <w:rPr>
          <w:b w:val="0"/>
          <w:noProof w:val="0"/>
          <w:sz w:val="22"/>
          <w:szCs w:val="22"/>
        </w:rPr>
        <w:instrText xml:space="preserve"> SEQ Figure \* ARABIC </w:instrText>
      </w:r>
      <w:r w:rsidRPr="003A563C">
        <w:rPr>
          <w:b w:val="0"/>
          <w:noProof w:val="0"/>
          <w:sz w:val="22"/>
          <w:szCs w:val="22"/>
        </w:rPr>
        <w:fldChar w:fldCharType="separate"/>
      </w:r>
      <w:r w:rsidRPr="003A563C">
        <w:rPr>
          <w:b w:val="0"/>
          <w:noProof w:val="0"/>
          <w:sz w:val="22"/>
          <w:szCs w:val="22"/>
        </w:rPr>
        <w:t>1</w:t>
      </w:r>
      <w:r w:rsidRPr="003A563C">
        <w:rPr>
          <w:b w:val="0"/>
          <w:noProof w:val="0"/>
          <w:sz w:val="22"/>
          <w:szCs w:val="22"/>
        </w:rPr>
        <w:fldChar w:fldCharType="end"/>
      </w:r>
      <w:bookmarkEnd w:id="5"/>
      <w:r w:rsidRPr="003A563C">
        <w:rPr>
          <w:b w:val="0"/>
          <w:noProof w:val="0"/>
          <w:sz w:val="22"/>
          <w:szCs w:val="22"/>
        </w:rPr>
        <w:t xml:space="preserve">  CDF curves for UL pre-processing SINR on Dense Urban-eMBB</w:t>
      </w:r>
    </w:p>
    <w:p w14:paraId="57ACB3B6" w14:textId="731196E8" w:rsidR="009A10E8" w:rsidRPr="00B43C2D" w:rsidRDefault="009A10E8" w:rsidP="009A10E8">
      <w:pPr>
        <w:rPr>
          <w:sz w:val="22"/>
        </w:rPr>
      </w:pPr>
      <w:r w:rsidRPr="00B43C2D">
        <w:rPr>
          <w:sz w:val="22"/>
        </w:rPr>
        <w:t>In</w:t>
      </w:r>
      <w:r w:rsidRPr="00B43C2D">
        <w:rPr>
          <w:rFonts w:hint="eastAsia"/>
          <w:sz w:val="22"/>
        </w:rPr>
        <w:t xml:space="preserve"> </w:t>
      </w:r>
      <w:r w:rsidRPr="003A563C">
        <w:rPr>
          <w:sz w:val="22"/>
        </w:rPr>
        <w:fldChar w:fldCharType="begin"/>
      </w:r>
      <w:r w:rsidRPr="00B43C2D">
        <w:rPr>
          <w:sz w:val="22"/>
        </w:rPr>
        <w:instrText xml:space="preserve"> </w:instrText>
      </w:r>
      <w:r w:rsidRPr="00B43C2D">
        <w:rPr>
          <w:rFonts w:hint="eastAsia"/>
          <w:sz w:val="22"/>
        </w:rPr>
        <w:instrText>REF _Ref505949255 \h</w:instrText>
      </w:r>
      <w:r w:rsidRPr="00B43C2D">
        <w:rPr>
          <w:sz w:val="22"/>
        </w:rPr>
        <w:instrText xml:space="preserve">  \* MERGEFORMAT </w:instrText>
      </w:r>
      <w:r w:rsidRPr="003A563C">
        <w:rPr>
          <w:sz w:val="22"/>
        </w:rPr>
      </w:r>
      <w:r w:rsidRPr="003A563C">
        <w:rPr>
          <w:sz w:val="22"/>
        </w:rPr>
        <w:fldChar w:fldCharType="separate"/>
      </w:r>
      <w:r w:rsidRPr="00B43C2D">
        <w:rPr>
          <w:sz w:val="22"/>
        </w:rPr>
        <w:t>Figure 2</w:t>
      </w:r>
      <w:r w:rsidRPr="003A563C">
        <w:rPr>
          <w:sz w:val="22"/>
        </w:rPr>
        <w:fldChar w:fldCharType="end"/>
      </w:r>
      <w:r w:rsidRPr="00B43C2D">
        <w:rPr>
          <w:sz w:val="22"/>
        </w:rPr>
        <w:t xml:space="preserve">, </w:t>
      </w:r>
      <w:r w:rsidRPr="00B43C2D">
        <w:rPr>
          <w:rFonts w:hint="eastAsia"/>
          <w:sz w:val="22"/>
        </w:rPr>
        <w:t>the</w:t>
      </w:r>
      <w:r w:rsidRPr="00B43C2D">
        <w:rPr>
          <w:sz w:val="22"/>
        </w:rPr>
        <w:t xml:space="preserve"> CDF curves for UL pre-processing SINR on Indoor Hot</w:t>
      </w:r>
      <w:r w:rsidR="005A65D0" w:rsidRPr="00B43C2D">
        <w:rPr>
          <w:sz w:val="22"/>
        </w:rPr>
        <w:t>s</w:t>
      </w:r>
      <w:r w:rsidRPr="00B43C2D">
        <w:rPr>
          <w:sz w:val="22"/>
        </w:rPr>
        <w:t>pot-eMBB</w:t>
      </w:r>
      <w:r w:rsidR="00624A80">
        <w:rPr>
          <w:sz w:val="22"/>
        </w:rPr>
        <w:t xml:space="preserve"> (12 TRxP)</w:t>
      </w:r>
      <w:r w:rsidRPr="00B43C2D">
        <w:rPr>
          <w:sz w:val="22"/>
        </w:rPr>
        <w:t xml:space="preserve">  are provided</w:t>
      </w:r>
      <w:r w:rsidRPr="00B43C2D">
        <w:rPr>
          <w:rFonts w:hint="eastAsia"/>
          <w:sz w:val="22"/>
        </w:rPr>
        <w:t>.</w:t>
      </w:r>
      <w:r w:rsidR="004B4A4C" w:rsidRPr="00B43C2D">
        <w:rPr>
          <w:sz w:val="22"/>
        </w:rPr>
        <w:t xml:space="preserve"> The evaluation assumption is the same as that used for evaluations on sepectrum efficiency and could be found in companion contributions [5].</w:t>
      </w:r>
    </w:p>
    <w:p w14:paraId="6A45DFAE" w14:textId="1C1925F0" w:rsidR="009A10E8" w:rsidRDefault="000668AF" w:rsidP="009A10E8"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drawing>
          <wp:inline distT="0" distB="0" distL="0" distR="0" wp14:anchorId="0BD12EB3" wp14:editId="3BCCBE53">
            <wp:extent cx="4557485" cy="341811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plink_Geometry_of_Indoor_Hotspot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57485" cy="341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548C9" w14:textId="450EC8AB" w:rsidR="009A10E8" w:rsidRPr="003A563C" w:rsidRDefault="009A10E8" w:rsidP="009A10E8">
      <w:pPr>
        <w:pStyle w:val="ac"/>
        <w:jc w:val="center"/>
        <w:rPr>
          <w:b w:val="0"/>
          <w:sz w:val="22"/>
          <w:szCs w:val="22"/>
        </w:rPr>
      </w:pPr>
      <w:bookmarkStart w:id="6" w:name="_Ref505952710"/>
      <w:r w:rsidRPr="003A563C">
        <w:rPr>
          <w:b w:val="0"/>
          <w:sz w:val="22"/>
          <w:szCs w:val="22"/>
        </w:rPr>
        <w:t xml:space="preserve">Figure </w:t>
      </w:r>
      <w:r w:rsidRPr="003A563C">
        <w:rPr>
          <w:b w:val="0"/>
          <w:sz w:val="22"/>
          <w:szCs w:val="22"/>
        </w:rPr>
        <w:fldChar w:fldCharType="begin"/>
      </w:r>
      <w:r w:rsidRPr="003A563C">
        <w:rPr>
          <w:b w:val="0"/>
          <w:sz w:val="22"/>
          <w:szCs w:val="22"/>
        </w:rPr>
        <w:instrText xml:space="preserve"> SEQ Figure \* ARABIC </w:instrText>
      </w:r>
      <w:r w:rsidRPr="003A563C">
        <w:rPr>
          <w:b w:val="0"/>
          <w:sz w:val="22"/>
          <w:szCs w:val="22"/>
        </w:rPr>
        <w:fldChar w:fldCharType="separate"/>
      </w:r>
      <w:r w:rsidRPr="003A563C">
        <w:rPr>
          <w:b w:val="0"/>
          <w:sz w:val="22"/>
          <w:szCs w:val="22"/>
        </w:rPr>
        <w:t>2</w:t>
      </w:r>
      <w:r w:rsidRPr="003A563C">
        <w:rPr>
          <w:b w:val="0"/>
          <w:sz w:val="22"/>
          <w:szCs w:val="22"/>
        </w:rPr>
        <w:fldChar w:fldCharType="end"/>
      </w:r>
      <w:bookmarkEnd w:id="6"/>
      <w:r w:rsidRPr="003A563C">
        <w:rPr>
          <w:b w:val="0"/>
          <w:sz w:val="22"/>
          <w:szCs w:val="22"/>
        </w:rPr>
        <w:t xml:space="preserve">  </w:t>
      </w:r>
      <w:r w:rsidR="00076702" w:rsidRPr="003A563C">
        <w:rPr>
          <w:b w:val="0"/>
          <w:noProof w:val="0"/>
          <w:sz w:val="22"/>
          <w:szCs w:val="22"/>
        </w:rPr>
        <w:t xml:space="preserve">CDF curves </w:t>
      </w:r>
      <w:r w:rsidRPr="003A563C">
        <w:rPr>
          <w:b w:val="0"/>
          <w:sz w:val="22"/>
          <w:szCs w:val="22"/>
        </w:rPr>
        <w:t xml:space="preserve">for </w:t>
      </w:r>
      <w:r w:rsidRPr="003A563C">
        <w:rPr>
          <w:b w:val="0"/>
          <w:noProof w:val="0"/>
          <w:sz w:val="22"/>
          <w:szCs w:val="22"/>
        </w:rPr>
        <w:t>UL pre-processing SINR on</w:t>
      </w:r>
      <w:r w:rsidRPr="003A563C">
        <w:rPr>
          <w:b w:val="0"/>
          <w:sz w:val="22"/>
          <w:szCs w:val="22"/>
        </w:rPr>
        <w:t xml:space="preserve"> Indoor Hot</w:t>
      </w:r>
      <w:r w:rsidR="000668AF" w:rsidRPr="003A563C">
        <w:rPr>
          <w:b w:val="0"/>
          <w:sz w:val="22"/>
          <w:szCs w:val="22"/>
        </w:rPr>
        <w:t>s</w:t>
      </w:r>
      <w:r w:rsidRPr="003A563C">
        <w:rPr>
          <w:b w:val="0"/>
          <w:sz w:val="22"/>
          <w:szCs w:val="22"/>
        </w:rPr>
        <w:t>pot -eMBB</w:t>
      </w:r>
    </w:p>
    <w:p w14:paraId="7D287811" w14:textId="77777777" w:rsidR="00EC52CF" w:rsidRDefault="00EC52CF" w:rsidP="009A10E8"/>
    <w:p w14:paraId="4F3A2ABA" w14:textId="72919798" w:rsidR="009A10E8" w:rsidRPr="00B43C2D" w:rsidRDefault="009A10E8" w:rsidP="009A10E8">
      <w:pPr>
        <w:rPr>
          <w:sz w:val="22"/>
        </w:rPr>
      </w:pPr>
      <w:r w:rsidRPr="00B43C2D">
        <w:rPr>
          <w:sz w:val="22"/>
        </w:rPr>
        <w:t>In</w:t>
      </w:r>
      <w:r w:rsidRPr="00B43C2D">
        <w:rPr>
          <w:rFonts w:hint="eastAsia"/>
          <w:sz w:val="22"/>
        </w:rPr>
        <w:t xml:space="preserve"> </w:t>
      </w:r>
      <w:r w:rsidRPr="003A563C">
        <w:rPr>
          <w:sz w:val="22"/>
        </w:rPr>
        <w:fldChar w:fldCharType="begin"/>
      </w:r>
      <w:r w:rsidRPr="00B43C2D">
        <w:rPr>
          <w:sz w:val="22"/>
        </w:rPr>
        <w:instrText xml:space="preserve"> </w:instrText>
      </w:r>
      <w:r w:rsidRPr="00B43C2D">
        <w:rPr>
          <w:rFonts w:hint="eastAsia"/>
          <w:sz w:val="22"/>
        </w:rPr>
        <w:instrText>REF _Ref505949255 \h</w:instrText>
      </w:r>
      <w:r w:rsidRPr="00B43C2D">
        <w:rPr>
          <w:sz w:val="22"/>
        </w:rPr>
        <w:instrText xml:space="preserve">  \* MERGEFORMAT </w:instrText>
      </w:r>
      <w:r w:rsidRPr="003A563C">
        <w:rPr>
          <w:sz w:val="22"/>
        </w:rPr>
      </w:r>
      <w:r w:rsidRPr="003A563C">
        <w:rPr>
          <w:sz w:val="22"/>
        </w:rPr>
        <w:fldChar w:fldCharType="separate"/>
      </w:r>
      <w:r w:rsidRPr="00B43C2D">
        <w:rPr>
          <w:sz w:val="22"/>
        </w:rPr>
        <w:t>Figure 3</w:t>
      </w:r>
      <w:r w:rsidRPr="003A563C">
        <w:rPr>
          <w:sz w:val="22"/>
        </w:rPr>
        <w:fldChar w:fldCharType="end"/>
      </w:r>
      <w:r w:rsidRPr="00B43C2D">
        <w:rPr>
          <w:sz w:val="22"/>
        </w:rPr>
        <w:t xml:space="preserve">, </w:t>
      </w:r>
      <w:r w:rsidRPr="00B43C2D">
        <w:rPr>
          <w:rFonts w:hint="eastAsia"/>
          <w:sz w:val="22"/>
        </w:rPr>
        <w:t>the</w:t>
      </w:r>
      <w:r w:rsidRPr="00B43C2D">
        <w:rPr>
          <w:sz w:val="22"/>
        </w:rPr>
        <w:t xml:space="preserve"> CDF curves for UL pre-processing SINR on Rural-eMBB  are provided</w:t>
      </w:r>
      <w:r w:rsidRPr="00B43C2D">
        <w:rPr>
          <w:rFonts w:hint="eastAsia"/>
          <w:sz w:val="22"/>
        </w:rPr>
        <w:t>.</w:t>
      </w:r>
      <w:r w:rsidR="004B4A4C" w:rsidRPr="00B43C2D">
        <w:rPr>
          <w:sz w:val="22"/>
        </w:rPr>
        <w:t xml:space="preserve"> </w:t>
      </w:r>
      <w:r w:rsidR="00120F39">
        <w:rPr>
          <w:sz w:val="22"/>
        </w:rPr>
        <w:t xml:space="preserve">In the evaluation, the power control parameter of </w:t>
      </w:r>
      <w:r w:rsidR="00120F39">
        <w:rPr>
          <w:rFonts w:eastAsia="宋体"/>
          <w:kern w:val="2"/>
          <w:sz w:val="22"/>
          <w:szCs w:val="22"/>
          <w:lang w:eastAsia="zh-CN"/>
        </w:rPr>
        <w:t>Alpha = 0.6, P0 = -60dBm is used. The antenna tilt of 99/99/96 degree is used in Rural-eMBB Config. A/B/C.</w:t>
      </w:r>
      <w:r w:rsidR="00120F39">
        <w:rPr>
          <w:sz w:val="22"/>
        </w:rPr>
        <w:t xml:space="preserve"> </w:t>
      </w:r>
      <w:r w:rsidR="004B4A4C" w:rsidRPr="00B43C2D">
        <w:rPr>
          <w:sz w:val="22"/>
        </w:rPr>
        <w:t>The evaluation assumption is the same as that used for evaluations on sepectrum efficiency and could be found in companion contributions [6].</w:t>
      </w:r>
    </w:p>
    <w:p w14:paraId="3B6AA8A4" w14:textId="72D2947E" w:rsidR="009A10E8" w:rsidRDefault="009A10E8" w:rsidP="009A10E8">
      <w:pPr>
        <w:jc w:val="center"/>
      </w:pPr>
    </w:p>
    <w:p w14:paraId="4CBE2626" w14:textId="0CFB612B" w:rsidR="009D3B16" w:rsidRDefault="00D80C25" w:rsidP="00D80C25">
      <w:pPr>
        <w:jc w:val="center"/>
      </w:pPr>
      <w:r w:rsidRPr="00D80C25">
        <w:rPr>
          <w:lang w:eastAsia="zh-CN"/>
        </w:rPr>
        <w:drawing>
          <wp:inline distT="0" distB="0" distL="0" distR="0" wp14:anchorId="22CB6911" wp14:editId="32B5321B">
            <wp:extent cx="4469916" cy="3352437"/>
            <wp:effectExtent l="0" t="0" r="6985" b="635"/>
            <wp:docPr id="3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0D649F25-9128-40F7-9532-2CADC25065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>
                      <a:extLst>
                        <a:ext uri="{FF2B5EF4-FFF2-40B4-BE49-F238E27FC236}">
                          <a16:creationId xmlns:a16="http://schemas.microsoft.com/office/drawing/2014/main" id="{0D649F25-9128-40F7-9532-2CADC25065C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2398" cy="335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3C09F" w14:textId="79197C43" w:rsidR="009A10E8" w:rsidRPr="003A563C" w:rsidRDefault="009A10E8" w:rsidP="009A10E8">
      <w:pPr>
        <w:pStyle w:val="ac"/>
        <w:jc w:val="center"/>
        <w:rPr>
          <w:sz w:val="22"/>
          <w:szCs w:val="22"/>
        </w:rPr>
      </w:pPr>
      <w:bookmarkStart w:id="7" w:name="_Ref505948763"/>
      <w:bookmarkStart w:id="8" w:name="_Ref505948757"/>
      <w:r w:rsidRPr="003A563C">
        <w:rPr>
          <w:b w:val="0"/>
          <w:sz w:val="22"/>
          <w:szCs w:val="22"/>
        </w:rPr>
        <w:t xml:space="preserve">Figure </w:t>
      </w:r>
      <w:r w:rsidRPr="003A563C">
        <w:rPr>
          <w:b w:val="0"/>
          <w:sz w:val="22"/>
          <w:szCs w:val="22"/>
        </w:rPr>
        <w:fldChar w:fldCharType="begin"/>
      </w:r>
      <w:r w:rsidRPr="003A563C">
        <w:rPr>
          <w:b w:val="0"/>
          <w:sz w:val="22"/>
          <w:szCs w:val="22"/>
        </w:rPr>
        <w:instrText xml:space="preserve"> SEQ Figure \* ARABIC </w:instrText>
      </w:r>
      <w:r w:rsidRPr="003A563C">
        <w:rPr>
          <w:b w:val="0"/>
          <w:sz w:val="22"/>
          <w:szCs w:val="22"/>
        </w:rPr>
        <w:fldChar w:fldCharType="separate"/>
      </w:r>
      <w:r w:rsidRPr="003A563C">
        <w:rPr>
          <w:b w:val="0"/>
          <w:sz w:val="22"/>
          <w:szCs w:val="22"/>
        </w:rPr>
        <w:t>3</w:t>
      </w:r>
      <w:r w:rsidRPr="003A563C">
        <w:rPr>
          <w:b w:val="0"/>
          <w:sz w:val="22"/>
          <w:szCs w:val="22"/>
        </w:rPr>
        <w:fldChar w:fldCharType="end"/>
      </w:r>
      <w:bookmarkEnd w:id="7"/>
      <w:r w:rsidRPr="003A563C">
        <w:rPr>
          <w:b w:val="0"/>
          <w:sz w:val="22"/>
          <w:szCs w:val="22"/>
        </w:rPr>
        <w:t xml:space="preserve"> </w:t>
      </w:r>
      <w:r w:rsidR="00076702" w:rsidRPr="003A563C">
        <w:rPr>
          <w:b w:val="0"/>
          <w:noProof w:val="0"/>
          <w:sz w:val="22"/>
          <w:szCs w:val="22"/>
        </w:rPr>
        <w:t xml:space="preserve">CDF curves </w:t>
      </w:r>
      <w:r w:rsidRPr="003A563C">
        <w:rPr>
          <w:b w:val="0"/>
          <w:sz w:val="22"/>
          <w:szCs w:val="22"/>
        </w:rPr>
        <w:t xml:space="preserve">for </w:t>
      </w:r>
      <w:bookmarkEnd w:id="8"/>
      <w:r w:rsidRPr="003A563C">
        <w:rPr>
          <w:b w:val="0"/>
          <w:noProof w:val="0"/>
          <w:sz w:val="22"/>
          <w:szCs w:val="22"/>
        </w:rPr>
        <w:t>UL pre-processing SINR on</w:t>
      </w:r>
      <w:r w:rsidRPr="003A563C">
        <w:rPr>
          <w:b w:val="0"/>
          <w:sz w:val="22"/>
          <w:szCs w:val="22"/>
        </w:rPr>
        <w:t xml:space="preserve"> Rural -eMBB</w:t>
      </w:r>
    </w:p>
    <w:p w14:paraId="7BB99773" w14:textId="77777777" w:rsidR="00EC52CF" w:rsidRDefault="00EC52CF" w:rsidP="009A10E8"/>
    <w:p w14:paraId="597AFBFC" w14:textId="360C9223" w:rsidR="009A10E8" w:rsidRPr="00B43C2D" w:rsidRDefault="009A10E8" w:rsidP="009A10E8">
      <w:pPr>
        <w:rPr>
          <w:sz w:val="22"/>
        </w:rPr>
      </w:pPr>
      <w:r w:rsidRPr="00B43C2D">
        <w:rPr>
          <w:rFonts w:hint="eastAsia"/>
          <w:sz w:val="22"/>
        </w:rPr>
        <w:t>The</w:t>
      </w:r>
      <w:r w:rsidR="00120F39">
        <w:rPr>
          <w:sz w:val="22"/>
        </w:rPr>
        <w:t xml:space="preserve"> 50</w:t>
      </w:r>
      <w:r w:rsidR="00120F39">
        <w:rPr>
          <w:rFonts w:eastAsia="宋体"/>
          <w:sz w:val="22"/>
          <w:lang w:eastAsia="zh-CN"/>
        </w:rPr>
        <w:t>% percentile</w:t>
      </w:r>
      <w:r w:rsidRPr="00B43C2D">
        <w:rPr>
          <w:rFonts w:hint="eastAsia"/>
          <w:sz w:val="22"/>
        </w:rPr>
        <w:t xml:space="preserve"> </w:t>
      </w:r>
      <w:r w:rsidRPr="00B43C2D">
        <w:rPr>
          <w:sz w:val="22"/>
        </w:rPr>
        <w:t xml:space="preserve">SINR </w:t>
      </w:r>
      <w:r w:rsidR="00120F39">
        <w:rPr>
          <w:sz w:val="22"/>
        </w:rPr>
        <w:t>of the</w:t>
      </w:r>
      <w:r w:rsidRPr="00B43C2D">
        <w:rPr>
          <w:sz w:val="22"/>
        </w:rPr>
        <w:t xml:space="preserve"> CDF </w:t>
      </w:r>
      <w:r w:rsidR="00120F39">
        <w:rPr>
          <w:sz w:val="22"/>
        </w:rPr>
        <w:t>of</w:t>
      </w:r>
      <w:r w:rsidR="005A65D0" w:rsidRPr="00B43C2D">
        <w:rPr>
          <w:sz w:val="22"/>
        </w:rPr>
        <w:t xml:space="preserve"> different scenarios are shown in the following table.</w:t>
      </w:r>
    </w:p>
    <w:p w14:paraId="599752CD" w14:textId="77777777" w:rsidR="00EC52CF" w:rsidRDefault="00EC52CF" w:rsidP="009A10E8"/>
    <w:p w14:paraId="15F964B1" w14:textId="716FBC31" w:rsidR="005A65D0" w:rsidRDefault="005A65D0" w:rsidP="005A65D0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2</w:t>
      </w:r>
    </w:p>
    <w:p w14:paraId="50608FA8" w14:textId="673F1C72" w:rsidR="005A65D0" w:rsidRDefault="005A65D0" w:rsidP="005A65D0">
      <w:pPr>
        <w:pStyle w:val="Tablefin"/>
      </w:pPr>
    </w:p>
    <w:tbl>
      <w:tblPr>
        <w:tblStyle w:val="afd"/>
        <w:tblW w:w="0" w:type="auto"/>
        <w:jc w:val="center"/>
        <w:tblLook w:val="01E0" w:firstRow="1" w:lastRow="1" w:firstColumn="1" w:lastColumn="1" w:noHBand="0" w:noVBand="0"/>
      </w:tblPr>
      <w:tblGrid>
        <w:gridCol w:w="3964"/>
        <w:gridCol w:w="2455"/>
      </w:tblGrid>
      <w:tr w:rsidR="000061A6" w14:paraId="676AD444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9D99" w14:textId="121E2148" w:rsidR="000061A6" w:rsidRDefault="000061A6" w:rsidP="000061A6">
            <w:pPr>
              <w:pStyle w:val="Tablehead"/>
              <w:spacing w:before="20" w:after="20"/>
              <w:rPr>
                <w:rFonts w:cs="Times New Roman"/>
                <w:sz w:val="22"/>
                <w:szCs w:val="22"/>
              </w:rPr>
            </w:pPr>
            <w:r w:rsidRPr="003A563C">
              <w:rPr>
                <w:sz w:val="22"/>
                <w:szCs w:val="22"/>
                <w:lang w:val="en-US"/>
              </w:rPr>
              <w:t>Scenario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CE7A" w14:textId="0593F249" w:rsidR="000061A6" w:rsidRDefault="000061A6" w:rsidP="000061A6">
            <w:pPr>
              <w:pStyle w:val="Tablehead"/>
              <w:spacing w:before="20" w:after="20"/>
              <w:rPr>
                <w:rFonts w:cs="Times New Roman"/>
                <w:sz w:val="22"/>
                <w:szCs w:val="22"/>
                <w:lang w:val="en-US"/>
              </w:rPr>
            </w:pPr>
            <w:r w:rsidRPr="003A563C">
              <w:rPr>
                <w:sz w:val="22"/>
                <w:szCs w:val="22"/>
                <w:lang w:val="en-US"/>
              </w:rPr>
              <w:t>SINR (dB)</w:t>
            </w:r>
          </w:p>
        </w:tc>
      </w:tr>
      <w:tr w:rsidR="000061A6" w14:paraId="232E6D6C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8871" w14:textId="0B0D2FA4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Dense Urban_ConfigA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0B47" w14:textId="7C6CA305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rFonts w:hint="eastAsia"/>
                <w:sz w:val="22"/>
                <w:szCs w:val="22"/>
                <w:lang w:val="en-US"/>
              </w:rPr>
              <w:t>4.</w:t>
            </w:r>
            <w:r w:rsidRPr="003A563C">
              <w:rPr>
                <w:sz w:val="22"/>
                <w:szCs w:val="22"/>
                <w:lang w:val="en-US"/>
              </w:rPr>
              <w:t>818</w:t>
            </w:r>
          </w:p>
        </w:tc>
      </w:tr>
      <w:tr w:rsidR="000061A6" w14:paraId="6122751F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0A43" w14:textId="79F34639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C15F13">
              <w:rPr>
                <w:sz w:val="22"/>
                <w:szCs w:val="22"/>
                <w:lang w:val="en-US"/>
              </w:rPr>
              <w:t>Dense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15F13">
              <w:rPr>
                <w:sz w:val="22"/>
                <w:szCs w:val="22"/>
                <w:lang w:val="en-US"/>
              </w:rPr>
              <w:t>Urban_</w:t>
            </w:r>
            <w:r>
              <w:rPr>
                <w:sz w:val="22"/>
                <w:szCs w:val="22"/>
                <w:lang w:val="en-US"/>
              </w:rPr>
              <w:t>Config</w:t>
            </w:r>
            <w:r w:rsidRPr="00C15F13">
              <w:rPr>
                <w:rFonts w:hint="eastAsia"/>
                <w:sz w:val="22"/>
                <w:szCs w:val="22"/>
                <w:lang w:val="en-US"/>
              </w:rPr>
              <w:t>B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A19B" w14:textId="358B7E4B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4.495</w:t>
            </w:r>
          </w:p>
        </w:tc>
      </w:tr>
      <w:tr w:rsidR="000061A6" w14:paraId="6EB88BB8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DE9B" w14:textId="0EA10859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Indoor Hotspot– eMBB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3A563C">
              <w:rPr>
                <w:sz w:val="22"/>
                <w:szCs w:val="22"/>
                <w:lang w:val="en-US"/>
              </w:rPr>
              <w:t>ConfigA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9582" w14:textId="2A84AA65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3A563C">
              <w:rPr>
                <w:sz w:val="22"/>
                <w:szCs w:val="22"/>
                <w:lang w:val="en-US"/>
              </w:rPr>
              <w:t>2.816</w:t>
            </w:r>
          </w:p>
        </w:tc>
      </w:tr>
      <w:tr w:rsidR="000061A6" w14:paraId="08E7151C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57B2" w14:textId="445F6497" w:rsidR="000061A6" w:rsidRDefault="000061A6" w:rsidP="000061A6">
            <w:pPr>
              <w:pStyle w:val="Tabletext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Indoor Hotspot– eMBB ConfigB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3C66" w14:textId="70485235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21.17</w:t>
            </w:r>
          </w:p>
        </w:tc>
      </w:tr>
      <w:tr w:rsidR="000061A6" w14:paraId="4B4E1ADC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719" w14:textId="2186B3E4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Indoor Hotspot– eMBB ConfigC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E3E1" w14:textId="47AFF663" w:rsidR="000061A6" w:rsidRDefault="000061A6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 w:rsidRPr="00075708">
              <w:rPr>
                <w:sz w:val="22"/>
                <w:szCs w:val="22"/>
                <w:lang w:val="en-US"/>
              </w:rPr>
              <w:t>26.84</w:t>
            </w:r>
          </w:p>
        </w:tc>
      </w:tr>
      <w:tr w:rsidR="000061A6" w14:paraId="6C1F77F7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47E3" w14:textId="448C1586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Rural – eMBB ConfigA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A65" w14:textId="1B4F16A5" w:rsidR="000061A6" w:rsidRDefault="00D80C25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/>
              </w:rPr>
              <w:t>8.643</w:t>
            </w:r>
          </w:p>
        </w:tc>
      </w:tr>
      <w:tr w:rsidR="000061A6" w14:paraId="22182442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190" w14:textId="3F03145B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Rural – eMBB ConfigB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B44" w14:textId="442467D2" w:rsidR="000061A6" w:rsidRDefault="00D80C25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/>
              </w:rPr>
              <w:t>4.894</w:t>
            </w:r>
          </w:p>
        </w:tc>
      </w:tr>
      <w:tr w:rsidR="000061A6" w14:paraId="3DCC2050" w14:textId="77777777" w:rsidTr="005D4CC0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8AD" w14:textId="0BB01CE3" w:rsidR="000061A6" w:rsidRDefault="000061A6" w:rsidP="000061A6">
            <w:pPr>
              <w:pStyle w:val="Tabletext0"/>
              <w:jc w:val="center"/>
              <w:rPr>
                <w:sz w:val="22"/>
                <w:szCs w:val="22"/>
              </w:rPr>
            </w:pPr>
            <w:r w:rsidRPr="00075708">
              <w:rPr>
                <w:sz w:val="22"/>
                <w:szCs w:val="22"/>
                <w:lang w:val="en-US"/>
              </w:rPr>
              <w:t>Rural – eMBB ConfigC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060" w14:textId="43AFBFC0" w:rsidR="000061A6" w:rsidRDefault="00D80C25" w:rsidP="000061A6">
            <w:pPr>
              <w:pStyle w:val="Tabletext0"/>
              <w:spacing w:before="20" w:after="20"/>
              <w:jc w:val="center"/>
              <w:rPr>
                <w:sz w:val="22"/>
                <w:szCs w:val="22"/>
                <w:lang w:val="en-US" w:eastAsia="ja-JP"/>
              </w:rPr>
            </w:pPr>
            <w:r>
              <w:rPr>
                <w:sz w:val="22"/>
                <w:szCs w:val="22"/>
                <w:lang w:val="en-US"/>
              </w:rPr>
              <w:t>3.558</w:t>
            </w:r>
          </w:p>
        </w:tc>
      </w:tr>
    </w:tbl>
    <w:p w14:paraId="242196FC" w14:textId="6062F14B" w:rsidR="000061A6" w:rsidRDefault="000061A6" w:rsidP="000061A6">
      <w:pPr>
        <w:pStyle w:val="Tablefin"/>
      </w:pPr>
    </w:p>
    <w:p w14:paraId="4301B011" w14:textId="19636B9B" w:rsidR="00213DE8" w:rsidRPr="00115369" w:rsidRDefault="009C4040" w:rsidP="00213DE8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Link level e</w:t>
      </w:r>
      <w:r w:rsidR="00213DE8">
        <w:rPr>
          <w:rFonts w:eastAsia="宋体" w:cs="Arial"/>
          <w:b/>
          <w:sz w:val="24"/>
          <w:szCs w:val="22"/>
          <w:lang w:val="en-US" w:eastAsia="zh-CN"/>
        </w:rPr>
        <w:t xml:space="preserve">valuation results of data rate </w:t>
      </w:r>
    </w:p>
    <w:p w14:paraId="4ECFA549" w14:textId="0DB0E2F6" w:rsidR="00213DE8" w:rsidRDefault="00007B99" w:rsidP="005D4CC0">
      <w:pPr>
        <w:rPr>
          <w:sz w:val="22"/>
        </w:rPr>
      </w:pPr>
      <w:r w:rsidRPr="005D4CC0">
        <w:rPr>
          <w:sz w:val="22"/>
        </w:rPr>
        <w:t xml:space="preserve">Based on the </w:t>
      </w:r>
      <w:r w:rsidRPr="0023358E">
        <w:rPr>
          <w:sz w:val="22"/>
        </w:rPr>
        <w:t xml:space="preserve">UL pre-processing SINR provided in TABLE 2, link-level </w:t>
      </w:r>
      <w:r w:rsidR="00212CE5" w:rsidRPr="0023358E">
        <w:rPr>
          <w:sz w:val="22"/>
        </w:rPr>
        <w:t>evaluations</w:t>
      </w:r>
      <w:r w:rsidRPr="00931055">
        <w:rPr>
          <w:sz w:val="22"/>
        </w:rPr>
        <w:t xml:space="preserve"> are performed in accordance with </w:t>
      </w:r>
      <w:r w:rsidR="00212CE5" w:rsidRPr="00DD0160">
        <w:rPr>
          <w:sz w:val="22"/>
        </w:rPr>
        <w:t>the evaluation</w:t>
      </w:r>
      <w:r w:rsidRPr="00DD0160">
        <w:rPr>
          <w:sz w:val="22"/>
        </w:rPr>
        <w:t xml:space="preserve"> assumption presented in TABLE </w:t>
      </w:r>
      <w:r w:rsidR="00931055" w:rsidRPr="005D4CC0">
        <w:rPr>
          <w:sz w:val="22"/>
        </w:rPr>
        <w:t>3</w:t>
      </w:r>
      <w:r w:rsidRPr="00DD0160">
        <w:rPr>
          <w:sz w:val="22"/>
        </w:rPr>
        <w:t xml:space="preserve"> and some initial </w:t>
      </w:r>
      <w:r w:rsidR="00212CE5" w:rsidRPr="00DD0160">
        <w:rPr>
          <w:sz w:val="22"/>
        </w:rPr>
        <w:t>evaluation</w:t>
      </w:r>
      <w:r w:rsidRPr="00DD0160">
        <w:rPr>
          <w:sz w:val="22"/>
        </w:rPr>
        <w:t xml:space="preserve"> results are shown in TABLE </w:t>
      </w:r>
      <w:r w:rsidR="00931055" w:rsidRPr="005D4CC0">
        <w:rPr>
          <w:sz w:val="22"/>
        </w:rPr>
        <w:t>4</w:t>
      </w:r>
      <w:r w:rsidRPr="00DD0160">
        <w:rPr>
          <w:sz w:val="22"/>
        </w:rPr>
        <w:t xml:space="preserve">. </w:t>
      </w:r>
    </w:p>
    <w:p w14:paraId="34FDFFF1" w14:textId="51186DFE" w:rsidR="005D2BAA" w:rsidRDefault="005D2BAA" w:rsidP="005D4CC0">
      <w:pPr>
        <w:rPr>
          <w:sz w:val="22"/>
        </w:rPr>
      </w:pPr>
    </w:p>
    <w:p w14:paraId="668066D0" w14:textId="55FFAC57" w:rsidR="005D2BAA" w:rsidRDefault="005D2BAA" w:rsidP="005D2BAA">
      <w:pPr>
        <w:keepNext/>
        <w:spacing w:before="120" w:after="120"/>
        <w:jc w:val="center"/>
        <w:rPr>
          <w:caps/>
          <w:sz w:val="20"/>
        </w:rPr>
      </w:pPr>
      <w:r>
        <w:rPr>
          <w:caps/>
          <w:sz w:val="20"/>
        </w:rPr>
        <w:t xml:space="preserve">TABLE </w:t>
      </w:r>
      <w:r w:rsidR="00931055" w:rsidRPr="005D4CC0">
        <w:rPr>
          <w:caps/>
          <w:sz w:val="20"/>
        </w:rPr>
        <w:t>3</w:t>
      </w:r>
    </w:p>
    <w:p w14:paraId="66F51559" w14:textId="77777777" w:rsidR="005D2BAA" w:rsidRPr="00E913D1" w:rsidRDefault="005D2BAA" w:rsidP="005D2BAA">
      <w:pPr>
        <w:pStyle w:val="Tabletitle"/>
        <w:rPr>
          <w:b w:val="0"/>
          <w:lang w:val="en-US"/>
        </w:rPr>
      </w:pPr>
      <w:r w:rsidRPr="007B67C1">
        <w:rPr>
          <w:rFonts w:eastAsiaTheme="minorEastAsia"/>
        </w:rPr>
        <w:t>T</w:t>
      </w:r>
      <w:r>
        <w:rPr>
          <w:rFonts w:eastAsiaTheme="minorEastAsia" w:hint="eastAsia"/>
        </w:rPr>
        <w:t>he additional link-</w:t>
      </w:r>
      <w:r w:rsidRPr="007B67C1">
        <w:rPr>
          <w:rFonts w:eastAsiaTheme="minorEastAsia" w:hint="eastAsia"/>
        </w:rPr>
        <w:t>level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evaluation</w:t>
      </w:r>
      <w:r w:rsidRPr="007B67C1">
        <w:rPr>
          <w:rFonts w:eastAsiaTheme="minorEastAsia" w:hint="eastAsia"/>
        </w:rPr>
        <w:t xml:space="preserve"> assumption</w:t>
      </w:r>
    </w:p>
    <w:tbl>
      <w:tblPr>
        <w:tblStyle w:val="afd"/>
        <w:tblW w:w="0" w:type="auto"/>
        <w:tblInd w:w="420" w:type="dxa"/>
        <w:tblLook w:val="04A0" w:firstRow="1" w:lastRow="0" w:firstColumn="1" w:lastColumn="0" w:noHBand="0" w:noVBand="1"/>
      </w:tblPr>
      <w:tblGrid>
        <w:gridCol w:w="2947"/>
        <w:gridCol w:w="6069"/>
      </w:tblGrid>
      <w:tr w:rsidR="005D2BAA" w14:paraId="77C439E1" w14:textId="77777777" w:rsidTr="005D4CC0">
        <w:trPr>
          <w:trHeight w:val="262"/>
        </w:trPr>
        <w:tc>
          <w:tcPr>
            <w:tcW w:w="2947" w:type="dxa"/>
          </w:tcPr>
          <w:p w14:paraId="6340E4BA" w14:textId="77777777" w:rsidR="005D2BAA" w:rsidRPr="00E913D1" w:rsidRDefault="005D2BAA" w:rsidP="00E913D1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E913D1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Assumption</w:t>
            </w:r>
          </w:p>
        </w:tc>
        <w:tc>
          <w:tcPr>
            <w:tcW w:w="6069" w:type="dxa"/>
          </w:tcPr>
          <w:p w14:paraId="4B9394E7" w14:textId="77777777" w:rsidR="005D2BAA" w:rsidRPr="00E913D1" w:rsidRDefault="005D2BAA" w:rsidP="00E913D1">
            <w:pPr>
              <w:jc w:val="center"/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</w:pPr>
            <w:r w:rsidRPr="00E913D1">
              <w:rPr>
                <w:rFonts w:eastAsia="宋体"/>
                <w:b/>
                <w:kern w:val="2"/>
                <w:sz w:val="22"/>
                <w:szCs w:val="22"/>
                <w:lang w:eastAsia="zh-CN"/>
              </w:rPr>
              <w:t>Value</w:t>
            </w:r>
          </w:p>
        </w:tc>
      </w:tr>
      <w:tr w:rsidR="005D2BAA" w14:paraId="02270132" w14:textId="77777777" w:rsidTr="005D4CC0">
        <w:trPr>
          <w:trHeight w:val="246"/>
        </w:trPr>
        <w:tc>
          <w:tcPr>
            <w:tcW w:w="2947" w:type="dxa"/>
          </w:tcPr>
          <w:p w14:paraId="3DED7662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ubcarrier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spacing</w:t>
            </w:r>
          </w:p>
        </w:tc>
        <w:tc>
          <w:tcPr>
            <w:tcW w:w="6069" w:type="dxa"/>
          </w:tcPr>
          <w:p w14:paraId="59E35B00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15kHz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(700MHz), 30kHz(4GHz), 60kHz(30GHz),120kHz(70GHz)</w:t>
            </w:r>
          </w:p>
        </w:tc>
      </w:tr>
      <w:tr w:rsidR="005D2BAA" w14:paraId="73EEA8B3" w14:textId="77777777" w:rsidTr="005D4CC0">
        <w:trPr>
          <w:trHeight w:val="262"/>
        </w:trPr>
        <w:tc>
          <w:tcPr>
            <w:tcW w:w="2947" w:type="dxa"/>
          </w:tcPr>
          <w:p w14:paraId="2D6587BF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Channel model</w:t>
            </w:r>
          </w:p>
        </w:tc>
        <w:tc>
          <w:tcPr>
            <w:tcW w:w="6069" w:type="dxa"/>
          </w:tcPr>
          <w:p w14:paraId="2B158727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7F6171">
              <w:rPr>
                <w:rFonts w:eastAsia="宋体"/>
                <w:kern w:val="2"/>
                <w:sz w:val="22"/>
                <w:szCs w:val="22"/>
                <w:lang w:eastAsia="zh-CN"/>
              </w:rPr>
              <w:t>TDL-A for 10 km/h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, </w:t>
            </w:r>
            <w:r w:rsidRPr="007F6171">
              <w:rPr>
                <w:rFonts w:eastAsia="宋体"/>
                <w:kern w:val="2"/>
                <w:sz w:val="22"/>
                <w:szCs w:val="22"/>
                <w:lang w:eastAsia="zh-CN"/>
              </w:rPr>
              <w:t>TDL-C for other UE speed</w:t>
            </w:r>
          </w:p>
        </w:tc>
      </w:tr>
      <w:tr w:rsidR="005D2BAA" w14:paraId="00607590" w14:textId="77777777" w:rsidTr="005D4CC0">
        <w:trPr>
          <w:trHeight w:val="246"/>
        </w:trPr>
        <w:tc>
          <w:tcPr>
            <w:tcW w:w="2947" w:type="dxa"/>
          </w:tcPr>
          <w:p w14:paraId="25CACA73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Wa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veform</w:t>
            </w:r>
          </w:p>
        </w:tc>
        <w:tc>
          <w:tcPr>
            <w:tcW w:w="6069" w:type="dxa"/>
          </w:tcPr>
          <w:p w14:paraId="6FC55526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CP-OFDM</w:t>
            </w:r>
          </w:p>
        </w:tc>
      </w:tr>
      <w:tr w:rsidR="005D2BAA" w14:paraId="59F56D19" w14:textId="77777777" w:rsidTr="005D4CC0">
        <w:trPr>
          <w:trHeight w:val="262"/>
        </w:trPr>
        <w:tc>
          <w:tcPr>
            <w:tcW w:w="2947" w:type="dxa"/>
          </w:tcPr>
          <w:p w14:paraId="0F8AD860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Antenna configuration</w:t>
            </w:r>
          </w:p>
        </w:tc>
        <w:tc>
          <w:tcPr>
            <w:tcW w:w="6069" w:type="dxa"/>
          </w:tcPr>
          <w:p w14:paraId="5C9BA428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 TX antenna, 4 RX antenna</w:t>
            </w:r>
          </w:p>
        </w:tc>
      </w:tr>
      <w:tr w:rsidR="005D2BAA" w14:paraId="36A939E8" w14:textId="77777777" w:rsidTr="005D4CC0">
        <w:trPr>
          <w:trHeight w:val="246"/>
        </w:trPr>
        <w:tc>
          <w:tcPr>
            <w:tcW w:w="2947" w:type="dxa"/>
          </w:tcPr>
          <w:p w14:paraId="376750F1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Transmission rank</w:t>
            </w:r>
          </w:p>
        </w:tc>
        <w:tc>
          <w:tcPr>
            <w:tcW w:w="6069" w:type="dxa"/>
          </w:tcPr>
          <w:p w14:paraId="119906DE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</w:tr>
      <w:tr w:rsidR="005D2BAA" w14:paraId="6056AFC1" w14:textId="77777777" w:rsidTr="005D4CC0">
        <w:trPr>
          <w:trHeight w:val="262"/>
        </w:trPr>
        <w:tc>
          <w:tcPr>
            <w:tcW w:w="2947" w:type="dxa"/>
          </w:tcPr>
          <w:p w14:paraId="151F4928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hannel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coding scheme</w:t>
            </w:r>
          </w:p>
        </w:tc>
        <w:tc>
          <w:tcPr>
            <w:tcW w:w="6069" w:type="dxa"/>
          </w:tcPr>
          <w:p w14:paraId="6C464F22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LDPC</w:t>
            </w:r>
          </w:p>
        </w:tc>
      </w:tr>
      <w:tr w:rsidR="005D2BAA" w14:paraId="2D57EA4C" w14:textId="77777777" w:rsidTr="005D4CC0">
        <w:trPr>
          <w:trHeight w:val="246"/>
        </w:trPr>
        <w:tc>
          <w:tcPr>
            <w:tcW w:w="2947" w:type="dxa"/>
          </w:tcPr>
          <w:p w14:paraId="78A1683C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HARQ</w:t>
            </w:r>
          </w:p>
        </w:tc>
        <w:tc>
          <w:tcPr>
            <w:tcW w:w="6069" w:type="dxa"/>
          </w:tcPr>
          <w:p w14:paraId="6328BFEE" w14:textId="77777777" w:rsidR="005D2BAA" w:rsidRPr="00E913D1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o </w:t>
            </w: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HARQ</w:t>
            </w:r>
          </w:p>
        </w:tc>
      </w:tr>
      <w:tr w:rsidR="005D2BAA" w14:paraId="29FC7037" w14:textId="77777777" w:rsidTr="005D4CC0">
        <w:trPr>
          <w:trHeight w:val="262"/>
        </w:trPr>
        <w:tc>
          <w:tcPr>
            <w:tcW w:w="2947" w:type="dxa"/>
          </w:tcPr>
          <w:p w14:paraId="20C44179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Link adaptation</w:t>
            </w:r>
          </w:p>
        </w:tc>
        <w:tc>
          <w:tcPr>
            <w:tcW w:w="6069" w:type="dxa"/>
          </w:tcPr>
          <w:p w14:paraId="24108CF6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Yes</w:t>
            </w:r>
          </w:p>
        </w:tc>
      </w:tr>
      <w:tr w:rsidR="005D2BAA" w14:paraId="479634F1" w14:textId="77777777" w:rsidTr="005D4CC0">
        <w:trPr>
          <w:trHeight w:val="246"/>
        </w:trPr>
        <w:tc>
          <w:tcPr>
            <w:tcW w:w="2947" w:type="dxa"/>
          </w:tcPr>
          <w:p w14:paraId="5469C652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Channel estimation</w:t>
            </w:r>
          </w:p>
        </w:tc>
        <w:tc>
          <w:tcPr>
            <w:tcW w:w="6069" w:type="dxa"/>
          </w:tcPr>
          <w:p w14:paraId="78EA178B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MMSE</w:t>
            </w:r>
          </w:p>
        </w:tc>
      </w:tr>
      <w:tr w:rsidR="005D2BAA" w14:paraId="1B0D5A2F" w14:textId="77777777" w:rsidTr="005D4CC0">
        <w:trPr>
          <w:trHeight w:val="262"/>
        </w:trPr>
        <w:tc>
          <w:tcPr>
            <w:tcW w:w="2947" w:type="dxa"/>
          </w:tcPr>
          <w:p w14:paraId="6879EEB8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DMRS</w:t>
            </w:r>
          </w:p>
        </w:tc>
        <w:tc>
          <w:tcPr>
            <w:tcW w:w="6069" w:type="dxa"/>
          </w:tcPr>
          <w:p w14:paraId="28C7FBA3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2 symbol DMRS with configuration type 1</w:t>
            </w:r>
          </w:p>
        </w:tc>
      </w:tr>
      <w:tr w:rsidR="005D2BAA" w14:paraId="0C50EE73" w14:textId="77777777" w:rsidTr="005D4CC0">
        <w:trPr>
          <w:trHeight w:val="246"/>
        </w:trPr>
        <w:tc>
          <w:tcPr>
            <w:tcW w:w="2947" w:type="dxa"/>
          </w:tcPr>
          <w:p w14:paraId="6A4978DD" w14:textId="77777777" w:rsidR="005D2BAA" w:rsidRPr="006C1EC8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/>
                <w:kern w:val="2"/>
                <w:sz w:val="22"/>
                <w:szCs w:val="22"/>
                <w:lang w:eastAsia="zh-CN"/>
              </w:rPr>
              <w:t>Additional</w:t>
            </w: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 xml:space="preserve"> overhead</w:t>
            </w:r>
          </w:p>
        </w:tc>
        <w:tc>
          <w:tcPr>
            <w:tcW w:w="6069" w:type="dxa"/>
          </w:tcPr>
          <w:p w14:paraId="1FAEB48B" w14:textId="77777777" w:rsidR="005D2BAA" w:rsidRDefault="005D2BAA" w:rsidP="00E913D1">
            <w:pPr>
              <w:jc w:val="center"/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1 symbol</w:t>
            </w:r>
          </w:p>
        </w:tc>
      </w:tr>
    </w:tbl>
    <w:p w14:paraId="17D85CDD" w14:textId="77777777" w:rsidR="005D2BAA" w:rsidRPr="00115369" w:rsidRDefault="005D2BAA" w:rsidP="005D2BAA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314087C2" w14:textId="77777777" w:rsidR="005D2BAA" w:rsidRPr="00931055" w:rsidRDefault="005D2BAA" w:rsidP="005D4CC0">
      <w:pPr>
        <w:rPr>
          <w:sz w:val="22"/>
        </w:rPr>
      </w:pPr>
    </w:p>
    <w:p w14:paraId="19DF4C6B" w14:textId="4C836F8E" w:rsidR="00212CE5" w:rsidRPr="005D4CC0" w:rsidRDefault="00212CE5" w:rsidP="00212CE5">
      <w:pPr>
        <w:keepNext/>
        <w:spacing w:before="120" w:after="120"/>
        <w:jc w:val="center"/>
        <w:rPr>
          <w:caps/>
          <w:sz w:val="20"/>
        </w:rPr>
      </w:pPr>
      <w:r>
        <w:rPr>
          <w:caps/>
          <w:sz w:val="20"/>
        </w:rPr>
        <w:t xml:space="preserve">TABLE </w:t>
      </w:r>
      <w:r w:rsidR="00931055" w:rsidRPr="005D4CC0">
        <w:rPr>
          <w:caps/>
          <w:sz w:val="20"/>
        </w:rPr>
        <w:t>4</w:t>
      </w:r>
    </w:p>
    <w:p w14:paraId="26836F47" w14:textId="669CF01B" w:rsidR="00212CE5" w:rsidRDefault="00AE7DBC" w:rsidP="00212CE5">
      <w:pPr>
        <w:pStyle w:val="Tabletitle"/>
        <w:rPr>
          <w:lang w:val="en-US"/>
        </w:rPr>
      </w:pPr>
      <w:r>
        <w:rPr>
          <w:lang w:val="en-US"/>
        </w:rPr>
        <w:t>Link-level evaluation results</w:t>
      </w:r>
    </w:p>
    <w:tbl>
      <w:tblPr>
        <w:tblStyle w:val="afd"/>
        <w:tblW w:w="8500" w:type="dxa"/>
        <w:jc w:val="center"/>
        <w:tblLook w:val="0420" w:firstRow="1" w:lastRow="0" w:firstColumn="0" w:lastColumn="0" w:noHBand="0" w:noVBand="1"/>
      </w:tblPr>
      <w:tblGrid>
        <w:gridCol w:w="1271"/>
        <w:gridCol w:w="1276"/>
        <w:gridCol w:w="1276"/>
        <w:gridCol w:w="1417"/>
        <w:gridCol w:w="1559"/>
        <w:gridCol w:w="1701"/>
      </w:tblGrid>
      <w:tr w:rsidR="00AE7DBC" w:rsidRPr="00AE7DBC" w14:paraId="27610861" w14:textId="77777777" w:rsidTr="005D4CC0">
        <w:trPr>
          <w:trHeight w:val="281"/>
          <w:jc w:val="center"/>
        </w:trPr>
        <w:tc>
          <w:tcPr>
            <w:tcW w:w="1271" w:type="dxa"/>
            <w:hideMark/>
          </w:tcPr>
          <w:p w14:paraId="12773D09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Scenario</w:t>
            </w:r>
          </w:p>
        </w:tc>
        <w:tc>
          <w:tcPr>
            <w:tcW w:w="1276" w:type="dxa"/>
            <w:hideMark/>
          </w:tcPr>
          <w:p w14:paraId="036D4928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Config.</w:t>
            </w:r>
          </w:p>
        </w:tc>
        <w:tc>
          <w:tcPr>
            <w:tcW w:w="1276" w:type="dxa"/>
            <w:hideMark/>
          </w:tcPr>
          <w:p w14:paraId="0CFFE486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Mobility</w:t>
            </w:r>
          </w:p>
          <w:p w14:paraId="4FEEA4D9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(km/h)</w:t>
            </w:r>
          </w:p>
        </w:tc>
        <w:tc>
          <w:tcPr>
            <w:tcW w:w="1417" w:type="dxa"/>
            <w:hideMark/>
          </w:tcPr>
          <w:p w14:paraId="1136ED34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Target SE</w:t>
            </w:r>
          </w:p>
          <w:p w14:paraId="0336AB9A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(bit/s/Hz)</w:t>
            </w:r>
          </w:p>
        </w:tc>
        <w:tc>
          <w:tcPr>
            <w:tcW w:w="1559" w:type="dxa"/>
            <w:hideMark/>
          </w:tcPr>
          <w:p w14:paraId="3CD77A29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BLER</w:t>
            </w:r>
          </w:p>
          <w:p w14:paraId="31764E30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(%)</w:t>
            </w:r>
          </w:p>
        </w:tc>
        <w:tc>
          <w:tcPr>
            <w:tcW w:w="1701" w:type="dxa"/>
            <w:hideMark/>
          </w:tcPr>
          <w:p w14:paraId="22A2525E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SE</w:t>
            </w:r>
          </w:p>
          <w:p w14:paraId="483EAC33" w14:textId="77777777" w:rsidR="00AE7DBC" w:rsidRPr="00AE7DBC" w:rsidRDefault="00AE7DBC" w:rsidP="005D4CC0">
            <w:pPr>
              <w:pStyle w:val="Tabletext0"/>
              <w:jc w:val="center"/>
            </w:pPr>
            <w:r w:rsidRPr="00AE7DBC">
              <w:rPr>
                <w:b/>
                <w:bCs/>
              </w:rPr>
              <w:t>(bit/s/Hz)</w:t>
            </w:r>
          </w:p>
        </w:tc>
      </w:tr>
      <w:tr w:rsidR="00AE7DBC" w:rsidRPr="00AE7DBC" w14:paraId="16CB7B93" w14:textId="77777777" w:rsidTr="005D4CC0">
        <w:trPr>
          <w:trHeight w:val="100"/>
          <w:jc w:val="center"/>
        </w:trPr>
        <w:tc>
          <w:tcPr>
            <w:tcW w:w="1271" w:type="dxa"/>
            <w:vMerge w:val="restart"/>
            <w:hideMark/>
          </w:tcPr>
          <w:p w14:paraId="508B41A3" w14:textId="00AB511A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Indoor Hotspot</w:t>
            </w:r>
            <w:r w:rsidR="00624A80">
              <w:rPr>
                <w:bCs/>
              </w:rPr>
              <w:t xml:space="preserve"> (12 TRxP)</w:t>
            </w:r>
          </w:p>
        </w:tc>
        <w:tc>
          <w:tcPr>
            <w:tcW w:w="1276" w:type="dxa"/>
            <w:hideMark/>
          </w:tcPr>
          <w:p w14:paraId="0961E03C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B</w:t>
            </w:r>
          </w:p>
        </w:tc>
        <w:tc>
          <w:tcPr>
            <w:tcW w:w="1276" w:type="dxa"/>
            <w:vMerge w:val="restart"/>
            <w:hideMark/>
          </w:tcPr>
          <w:p w14:paraId="6D79D971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10</w:t>
            </w:r>
          </w:p>
        </w:tc>
        <w:tc>
          <w:tcPr>
            <w:tcW w:w="1417" w:type="dxa"/>
            <w:vMerge w:val="restart"/>
            <w:hideMark/>
          </w:tcPr>
          <w:p w14:paraId="7697A588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1.5</w:t>
            </w:r>
          </w:p>
        </w:tc>
        <w:tc>
          <w:tcPr>
            <w:tcW w:w="1559" w:type="dxa"/>
            <w:hideMark/>
          </w:tcPr>
          <w:p w14:paraId="139DE9B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0.75</w:t>
            </w:r>
          </w:p>
        </w:tc>
        <w:tc>
          <w:tcPr>
            <w:tcW w:w="1701" w:type="dxa"/>
            <w:hideMark/>
          </w:tcPr>
          <w:p w14:paraId="2C1AAF8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2.84</w:t>
            </w:r>
          </w:p>
        </w:tc>
      </w:tr>
      <w:tr w:rsidR="00AE7DBC" w:rsidRPr="00AE7DBC" w14:paraId="6365E2FA" w14:textId="77777777" w:rsidTr="005D4CC0">
        <w:trPr>
          <w:trHeight w:val="58"/>
          <w:jc w:val="center"/>
        </w:trPr>
        <w:tc>
          <w:tcPr>
            <w:tcW w:w="1271" w:type="dxa"/>
            <w:vMerge/>
            <w:hideMark/>
          </w:tcPr>
          <w:p w14:paraId="1750611D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hideMark/>
          </w:tcPr>
          <w:p w14:paraId="01AA5D8C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C</w:t>
            </w:r>
          </w:p>
        </w:tc>
        <w:tc>
          <w:tcPr>
            <w:tcW w:w="1276" w:type="dxa"/>
            <w:vMerge/>
            <w:hideMark/>
          </w:tcPr>
          <w:p w14:paraId="6C096D45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417" w:type="dxa"/>
            <w:vMerge/>
            <w:hideMark/>
          </w:tcPr>
          <w:p w14:paraId="40B1E3D5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559" w:type="dxa"/>
            <w:hideMark/>
          </w:tcPr>
          <w:p w14:paraId="1AC25A13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0.36</w:t>
            </w:r>
          </w:p>
        </w:tc>
        <w:tc>
          <w:tcPr>
            <w:tcW w:w="1701" w:type="dxa"/>
            <w:hideMark/>
          </w:tcPr>
          <w:p w14:paraId="2D063D2E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2.22</w:t>
            </w:r>
          </w:p>
        </w:tc>
      </w:tr>
      <w:tr w:rsidR="00AE7DBC" w:rsidRPr="00AE7DBC" w14:paraId="2ECB6F10" w14:textId="77777777" w:rsidTr="005D4CC0">
        <w:trPr>
          <w:jc w:val="center"/>
        </w:trPr>
        <w:tc>
          <w:tcPr>
            <w:tcW w:w="1271" w:type="dxa"/>
            <w:vMerge w:val="restart"/>
            <w:hideMark/>
          </w:tcPr>
          <w:p w14:paraId="56C185C8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Dense Urban</w:t>
            </w:r>
          </w:p>
        </w:tc>
        <w:tc>
          <w:tcPr>
            <w:tcW w:w="1276" w:type="dxa"/>
            <w:hideMark/>
          </w:tcPr>
          <w:p w14:paraId="59363840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A</w:t>
            </w:r>
          </w:p>
        </w:tc>
        <w:tc>
          <w:tcPr>
            <w:tcW w:w="1276" w:type="dxa"/>
            <w:vMerge w:val="restart"/>
            <w:hideMark/>
          </w:tcPr>
          <w:p w14:paraId="227CC24E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30</w:t>
            </w:r>
          </w:p>
        </w:tc>
        <w:tc>
          <w:tcPr>
            <w:tcW w:w="1417" w:type="dxa"/>
            <w:vMerge w:val="restart"/>
            <w:hideMark/>
          </w:tcPr>
          <w:p w14:paraId="2736ED4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1.12</w:t>
            </w:r>
          </w:p>
        </w:tc>
        <w:tc>
          <w:tcPr>
            <w:tcW w:w="1559" w:type="dxa"/>
            <w:hideMark/>
          </w:tcPr>
          <w:p w14:paraId="6C847AA9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0.74</w:t>
            </w:r>
          </w:p>
        </w:tc>
        <w:tc>
          <w:tcPr>
            <w:tcW w:w="1701" w:type="dxa"/>
            <w:hideMark/>
          </w:tcPr>
          <w:p w14:paraId="31629A6F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1.574</w:t>
            </w:r>
          </w:p>
        </w:tc>
      </w:tr>
      <w:tr w:rsidR="00AE7DBC" w:rsidRPr="00AE7DBC" w14:paraId="3477A4E4" w14:textId="77777777" w:rsidTr="005D4CC0">
        <w:trPr>
          <w:trHeight w:val="127"/>
          <w:jc w:val="center"/>
        </w:trPr>
        <w:tc>
          <w:tcPr>
            <w:tcW w:w="1271" w:type="dxa"/>
            <w:vMerge/>
            <w:hideMark/>
          </w:tcPr>
          <w:p w14:paraId="4D709161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hideMark/>
          </w:tcPr>
          <w:p w14:paraId="72860489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B</w:t>
            </w:r>
          </w:p>
        </w:tc>
        <w:tc>
          <w:tcPr>
            <w:tcW w:w="1276" w:type="dxa"/>
            <w:vMerge/>
            <w:hideMark/>
          </w:tcPr>
          <w:p w14:paraId="47863D6A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417" w:type="dxa"/>
            <w:vMerge/>
            <w:hideMark/>
          </w:tcPr>
          <w:p w14:paraId="03EEECC5" w14:textId="77777777" w:rsidR="00AE7DBC" w:rsidRPr="0034440F" w:rsidRDefault="00AE7DBC" w:rsidP="005D4CC0">
            <w:pPr>
              <w:pStyle w:val="Tabletext0"/>
              <w:jc w:val="center"/>
            </w:pPr>
          </w:p>
        </w:tc>
        <w:tc>
          <w:tcPr>
            <w:tcW w:w="1559" w:type="dxa"/>
            <w:hideMark/>
          </w:tcPr>
          <w:p w14:paraId="4B5B47EE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0.08</w:t>
            </w:r>
          </w:p>
        </w:tc>
        <w:tc>
          <w:tcPr>
            <w:tcW w:w="1701" w:type="dxa"/>
            <w:hideMark/>
          </w:tcPr>
          <w:p w14:paraId="07E3426B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1.2434</w:t>
            </w:r>
          </w:p>
        </w:tc>
      </w:tr>
      <w:tr w:rsidR="00AE7DBC" w:rsidRPr="00AE7DBC" w14:paraId="275D1B5D" w14:textId="77777777" w:rsidTr="005D4CC0">
        <w:trPr>
          <w:trHeight w:val="281"/>
          <w:jc w:val="center"/>
        </w:trPr>
        <w:tc>
          <w:tcPr>
            <w:tcW w:w="1271" w:type="dxa"/>
            <w:vMerge w:val="restart"/>
            <w:hideMark/>
          </w:tcPr>
          <w:p w14:paraId="6CFD8422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Rural</w:t>
            </w:r>
          </w:p>
        </w:tc>
        <w:tc>
          <w:tcPr>
            <w:tcW w:w="1276" w:type="dxa"/>
            <w:vMerge w:val="restart"/>
            <w:hideMark/>
          </w:tcPr>
          <w:p w14:paraId="54C30D3A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A</w:t>
            </w:r>
          </w:p>
        </w:tc>
        <w:tc>
          <w:tcPr>
            <w:tcW w:w="1276" w:type="dxa"/>
            <w:hideMark/>
          </w:tcPr>
          <w:p w14:paraId="67A9F761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120</w:t>
            </w:r>
          </w:p>
        </w:tc>
        <w:tc>
          <w:tcPr>
            <w:tcW w:w="1417" w:type="dxa"/>
            <w:hideMark/>
          </w:tcPr>
          <w:p w14:paraId="7E843C32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0.8</w:t>
            </w:r>
          </w:p>
        </w:tc>
        <w:tc>
          <w:tcPr>
            <w:tcW w:w="1559" w:type="dxa"/>
            <w:hideMark/>
          </w:tcPr>
          <w:p w14:paraId="354336A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0.84</w:t>
            </w:r>
          </w:p>
        </w:tc>
        <w:tc>
          <w:tcPr>
            <w:tcW w:w="1701" w:type="dxa"/>
            <w:hideMark/>
          </w:tcPr>
          <w:p w14:paraId="6E93638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1.7505</w:t>
            </w:r>
          </w:p>
        </w:tc>
      </w:tr>
      <w:tr w:rsidR="00AE7DBC" w:rsidRPr="00AE7DBC" w14:paraId="729949C1" w14:textId="77777777" w:rsidTr="005D4CC0">
        <w:trPr>
          <w:jc w:val="center"/>
        </w:trPr>
        <w:tc>
          <w:tcPr>
            <w:tcW w:w="1271" w:type="dxa"/>
            <w:vMerge/>
            <w:hideMark/>
          </w:tcPr>
          <w:p w14:paraId="39EF8DFC" w14:textId="77777777" w:rsidR="00AE7DBC" w:rsidRPr="00AE7DBC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vMerge/>
            <w:hideMark/>
          </w:tcPr>
          <w:p w14:paraId="3626D629" w14:textId="77777777" w:rsidR="00AE7DBC" w:rsidRPr="00AE7DBC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hideMark/>
          </w:tcPr>
          <w:p w14:paraId="1EA3B9EF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500</w:t>
            </w:r>
          </w:p>
        </w:tc>
        <w:tc>
          <w:tcPr>
            <w:tcW w:w="1417" w:type="dxa"/>
            <w:hideMark/>
          </w:tcPr>
          <w:p w14:paraId="0A20D2EE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0.45</w:t>
            </w:r>
          </w:p>
        </w:tc>
        <w:tc>
          <w:tcPr>
            <w:tcW w:w="1559" w:type="dxa"/>
            <w:hideMark/>
          </w:tcPr>
          <w:p w14:paraId="05D859F1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0.93</w:t>
            </w:r>
          </w:p>
        </w:tc>
        <w:tc>
          <w:tcPr>
            <w:tcW w:w="1701" w:type="dxa"/>
            <w:hideMark/>
          </w:tcPr>
          <w:p w14:paraId="57FF2773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0.856</w:t>
            </w:r>
          </w:p>
        </w:tc>
      </w:tr>
      <w:tr w:rsidR="00AE7DBC" w:rsidRPr="00AE7DBC" w14:paraId="1E6EE422" w14:textId="77777777" w:rsidTr="005D4CC0">
        <w:trPr>
          <w:trHeight w:val="58"/>
          <w:jc w:val="center"/>
        </w:trPr>
        <w:tc>
          <w:tcPr>
            <w:tcW w:w="1271" w:type="dxa"/>
            <w:vMerge/>
            <w:hideMark/>
          </w:tcPr>
          <w:p w14:paraId="7DAF6F4A" w14:textId="77777777" w:rsidR="00AE7DBC" w:rsidRPr="00AE7DBC" w:rsidRDefault="00AE7DBC" w:rsidP="005D4CC0">
            <w:pPr>
              <w:pStyle w:val="Tabletext0"/>
              <w:jc w:val="center"/>
            </w:pPr>
          </w:p>
        </w:tc>
        <w:tc>
          <w:tcPr>
            <w:tcW w:w="1276" w:type="dxa"/>
            <w:hideMark/>
          </w:tcPr>
          <w:p w14:paraId="4E4D6597" w14:textId="77777777" w:rsidR="00AE7DBC" w:rsidRPr="00AE7DBC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B</w:t>
            </w:r>
          </w:p>
        </w:tc>
        <w:tc>
          <w:tcPr>
            <w:tcW w:w="1276" w:type="dxa"/>
            <w:hideMark/>
          </w:tcPr>
          <w:p w14:paraId="33DB2494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120</w:t>
            </w:r>
          </w:p>
        </w:tc>
        <w:tc>
          <w:tcPr>
            <w:tcW w:w="1417" w:type="dxa"/>
            <w:hideMark/>
          </w:tcPr>
          <w:p w14:paraId="79171BC0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0.8</w:t>
            </w:r>
          </w:p>
        </w:tc>
        <w:tc>
          <w:tcPr>
            <w:tcW w:w="1559" w:type="dxa"/>
            <w:hideMark/>
          </w:tcPr>
          <w:p w14:paraId="748C7C5A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0.77</w:t>
            </w:r>
          </w:p>
        </w:tc>
        <w:tc>
          <w:tcPr>
            <w:tcW w:w="1701" w:type="dxa"/>
            <w:hideMark/>
          </w:tcPr>
          <w:p w14:paraId="4C8B7E08" w14:textId="77777777" w:rsidR="00AE7DBC" w:rsidRPr="0034440F" w:rsidRDefault="00AE7DBC" w:rsidP="005D4CC0">
            <w:pPr>
              <w:pStyle w:val="Tabletext0"/>
              <w:jc w:val="center"/>
            </w:pPr>
            <w:r w:rsidRPr="005D4CC0">
              <w:rPr>
                <w:bCs/>
              </w:rPr>
              <w:t>1.0761</w:t>
            </w:r>
          </w:p>
        </w:tc>
      </w:tr>
    </w:tbl>
    <w:p w14:paraId="7FFEDCC6" w14:textId="77777777" w:rsidR="00221F35" w:rsidRDefault="00221F35" w:rsidP="005D4CC0">
      <w:pPr>
        <w:pStyle w:val="Tabletext0"/>
        <w:rPr>
          <w:rFonts w:eastAsia="宋体"/>
          <w:lang w:val="en-US" w:eastAsia="zh-CN"/>
        </w:rPr>
      </w:pPr>
    </w:p>
    <w:p w14:paraId="2DB4302C" w14:textId="6FFAB501" w:rsidR="00AE7DBC" w:rsidRPr="005D4CC0" w:rsidRDefault="003C31C8" w:rsidP="005D4CC0">
      <w:pPr>
        <w:rPr>
          <w:sz w:val="22"/>
        </w:rPr>
      </w:pPr>
      <w:r w:rsidRPr="005D4CC0">
        <w:rPr>
          <w:sz w:val="22"/>
        </w:rPr>
        <w:t xml:space="preserve">Comparing the above evaluation results with the requirements shown in TABLE 1, we can conclude that the required normalized traffic channel link data rates can be reached </w:t>
      </w:r>
      <w:r w:rsidR="00D57722" w:rsidRPr="005D4CC0">
        <w:rPr>
          <w:sz w:val="22"/>
        </w:rPr>
        <w:t>in all evaluated environments.</w:t>
      </w:r>
    </w:p>
    <w:p w14:paraId="6BDBDD0D" w14:textId="77777777" w:rsidR="00007B99" w:rsidRPr="005D4CC0" w:rsidRDefault="00007B99" w:rsidP="000061A6">
      <w:pPr>
        <w:pStyle w:val="Tablefin"/>
        <w:rPr>
          <w:rFonts w:eastAsia="宋体"/>
          <w:lang w:eastAsia="zh-CN"/>
        </w:rPr>
      </w:pP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0748CF10" w14:textId="3F5C846C" w:rsidR="0031134B" w:rsidRDefault="003341CA" w:rsidP="00E32A62">
      <w:pPr>
        <w:snapToGrid w:val="0"/>
        <w:spacing w:before="120" w:after="120"/>
        <w:jc w:val="both"/>
        <w:rPr>
          <w:rFonts w:eastAsia="宋体"/>
          <w:b/>
          <w:u w:val="single"/>
          <w:lang w:eastAsia="zh-CN"/>
        </w:rPr>
      </w:pPr>
      <w:r w:rsidRPr="00B43C2D">
        <w:rPr>
          <w:bCs/>
          <w:sz w:val="22"/>
          <w:szCs w:val="20"/>
        </w:rPr>
        <w:t>In th</w:t>
      </w:r>
      <w:r w:rsidR="00840684" w:rsidRPr="00B43C2D">
        <w:rPr>
          <w:bCs/>
          <w:sz w:val="22"/>
          <w:szCs w:val="20"/>
        </w:rPr>
        <w:t xml:space="preserve">is contribution, we provide </w:t>
      </w:r>
      <w:r w:rsidR="00A26B12" w:rsidRPr="00B43C2D">
        <w:rPr>
          <w:bCs/>
          <w:sz w:val="22"/>
          <w:szCs w:val="20"/>
        </w:rPr>
        <w:t xml:space="preserve">the preliminary results of UL pre-processing </w:t>
      </w:r>
      <w:r w:rsidR="00A26B12" w:rsidRPr="00B43C2D">
        <w:rPr>
          <w:bCs/>
          <w:sz w:val="22"/>
        </w:rPr>
        <w:t>SINR</w:t>
      </w:r>
      <w:r w:rsidR="001B69CF">
        <w:rPr>
          <w:bCs/>
          <w:sz w:val="22"/>
        </w:rPr>
        <w:t xml:space="preserve"> and normalized traffc data rate</w:t>
      </w:r>
      <w:r w:rsidR="00A26B12" w:rsidRPr="00B43C2D">
        <w:rPr>
          <w:bCs/>
          <w:sz w:val="22"/>
        </w:rPr>
        <w:t xml:space="preserve"> on </w:t>
      </w:r>
      <w:r w:rsidR="00A26B12" w:rsidRPr="00B43C2D">
        <w:rPr>
          <w:sz w:val="22"/>
        </w:rPr>
        <w:t>Indoor</w:t>
      </w:r>
      <w:r w:rsidR="00A26B12" w:rsidRPr="00B43C2D">
        <w:rPr>
          <w:sz w:val="22"/>
          <w:lang w:eastAsia="ja-JP"/>
        </w:rPr>
        <w:t xml:space="preserve"> Hotspot – eMBB,</w:t>
      </w:r>
      <w:r w:rsidR="00A26B12" w:rsidRPr="00B43C2D">
        <w:rPr>
          <w:bCs/>
          <w:sz w:val="22"/>
        </w:rPr>
        <w:t xml:space="preserve"> Dense Urban–eMBB and </w:t>
      </w:r>
      <w:r w:rsidR="00A26B12" w:rsidRPr="00B43C2D">
        <w:rPr>
          <w:sz w:val="22"/>
          <w:lang w:eastAsia="ja-JP"/>
        </w:rPr>
        <w:t>Rural – eMBB</w:t>
      </w:r>
      <w:r w:rsidR="00840684" w:rsidRPr="00B43C2D">
        <w:rPr>
          <w:bCs/>
          <w:sz w:val="22"/>
        </w:rPr>
        <w:t>.</w:t>
      </w:r>
      <w:r w:rsidR="005F15DB" w:rsidRPr="00B43C2D">
        <w:rPr>
          <w:bCs/>
          <w:sz w:val="22"/>
          <w:szCs w:val="20"/>
        </w:rPr>
        <w:t xml:space="preserve"> Based on </w:t>
      </w:r>
      <w:r w:rsidR="00EC52CF" w:rsidRPr="00B43C2D">
        <w:rPr>
          <w:bCs/>
          <w:sz w:val="22"/>
          <w:szCs w:val="20"/>
        </w:rPr>
        <w:t xml:space="preserve">the obtained 50% UL pre-processing SINR, </w:t>
      </w:r>
      <w:r w:rsidR="001B69CF">
        <w:rPr>
          <w:bCs/>
          <w:sz w:val="22"/>
          <w:szCs w:val="20"/>
        </w:rPr>
        <w:t>the achieved traffic data rate can fulfill the IMT-2020 mobility requirements in all required test environments.</w:t>
      </w: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2B07F1CE" w14:textId="77777777" w:rsidR="00533C31" w:rsidRPr="00B43C2D" w:rsidRDefault="00533C31" w:rsidP="00533C31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June 2017.</w:t>
      </w:r>
    </w:p>
    <w:p w14:paraId="2D61CCAC" w14:textId="77777777" w:rsidR="00533C31" w:rsidRPr="00B43C2D" w:rsidRDefault="00533C31" w:rsidP="00533C31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</w:p>
    <w:p w14:paraId="00191687" w14:textId="51B62617" w:rsidR="002F6760" w:rsidRPr="00B43C2D" w:rsidRDefault="002F6760" w:rsidP="002F676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 xml:space="preserve">R1-1805643, “Summary of discussion on mobility evaluation method and parameters”, Huawei, April 2018.  </w:t>
      </w:r>
    </w:p>
    <w:p w14:paraId="4C4C41D6" w14:textId="58033CDC" w:rsidR="008325CF" w:rsidRPr="004670A1" w:rsidRDefault="008325CF" w:rsidP="008325CF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4670A1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4670A1" w:rsidRPr="004670A1">
        <w:rPr>
          <w:rFonts w:ascii="Times New Roman" w:hAnsi="Times New Roman" w:cs="Times New Roman"/>
          <w:kern w:val="2"/>
          <w:sz w:val="22"/>
          <w:szCs w:val="22"/>
        </w:rPr>
        <w:t>1809167</w:t>
      </w:r>
      <w:r w:rsidRPr="004670A1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>Updated e</w:t>
      </w:r>
      <w:r w:rsidRPr="004670A1">
        <w:rPr>
          <w:rFonts w:ascii="Times New Roman" w:hAnsi="Times New Roman" w:cs="Times New Roman"/>
          <w:kern w:val="2"/>
          <w:sz w:val="22"/>
          <w:szCs w:val="22"/>
        </w:rPr>
        <w:t xml:space="preserve">valuation results of dense urban-eMBB for IMT-2020 self-evaluation”, NTT DOCOMO, 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 xml:space="preserve">August </w:t>
      </w:r>
      <w:r w:rsidRPr="004670A1">
        <w:rPr>
          <w:rFonts w:ascii="Times New Roman" w:hAnsi="Times New Roman" w:cs="Times New Roman"/>
          <w:kern w:val="2"/>
          <w:sz w:val="22"/>
          <w:szCs w:val="22"/>
        </w:rPr>
        <w:t xml:space="preserve">2018. </w:t>
      </w:r>
    </w:p>
    <w:p w14:paraId="6990F33C" w14:textId="0C1237D7" w:rsidR="008325CF" w:rsidRPr="004670A1" w:rsidRDefault="00DC2F29" w:rsidP="008325CF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4670A1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>18</w:t>
      </w:r>
      <w:r w:rsidR="004670A1" w:rsidRPr="004670A1">
        <w:rPr>
          <w:rFonts w:ascii="Times New Roman" w:hAnsi="Times New Roman" w:cs="Times New Roman"/>
          <w:kern w:val="2"/>
          <w:sz w:val="22"/>
          <w:szCs w:val="22"/>
        </w:rPr>
        <w:t>09166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 “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>Updated e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valuation results of Indoor Hotspot-eMBB for IMT-2020 self-evaluation”, NTT DOCOMO, 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 xml:space="preserve">August 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2018. </w:t>
      </w:r>
    </w:p>
    <w:p w14:paraId="25C6DEB8" w14:textId="31F4E695" w:rsidR="008325CF" w:rsidRPr="004670A1" w:rsidRDefault="00DC2F29" w:rsidP="008325CF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4670A1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4670A1" w:rsidRPr="004670A1">
        <w:rPr>
          <w:rFonts w:ascii="Times New Roman" w:hAnsi="Times New Roman" w:cs="Times New Roman"/>
          <w:kern w:val="2"/>
          <w:sz w:val="22"/>
          <w:szCs w:val="22"/>
        </w:rPr>
        <w:t>1809168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>Updated e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valuation results of rural-eMBB for IMT-2020 self-evaluation”, NTT DOCOMO, </w:t>
      </w:r>
      <w:r w:rsidR="006D6F1C" w:rsidRPr="004670A1">
        <w:rPr>
          <w:rFonts w:ascii="Times New Roman" w:hAnsi="Times New Roman" w:cs="Times New Roman"/>
          <w:kern w:val="2"/>
          <w:sz w:val="22"/>
          <w:szCs w:val="22"/>
        </w:rPr>
        <w:t xml:space="preserve">August </w:t>
      </w:r>
      <w:r w:rsidR="008325CF" w:rsidRPr="004670A1">
        <w:rPr>
          <w:rFonts w:ascii="Times New Roman" w:hAnsi="Times New Roman" w:cs="Times New Roman"/>
          <w:kern w:val="2"/>
          <w:sz w:val="22"/>
          <w:szCs w:val="22"/>
        </w:rPr>
        <w:t xml:space="preserve">2018. </w:t>
      </w:r>
    </w:p>
    <w:p w14:paraId="10653A59" w14:textId="77777777" w:rsidR="008325CF" w:rsidRPr="00075708" w:rsidRDefault="008325CF" w:rsidP="00075708">
      <w:pPr>
        <w:pStyle w:val="afa"/>
        <w:ind w:left="420" w:firstLineChars="0" w:firstLine="0"/>
        <w:rPr>
          <w:rFonts w:ascii="Times New Roman" w:hAnsi="Times New Roman" w:cs="Times New Roman"/>
          <w:kern w:val="2"/>
          <w:szCs w:val="22"/>
        </w:rPr>
      </w:pPr>
    </w:p>
    <w:p w14:paraId="6C547980" w14:textId="77777777" w:rsidR="00213DE8" w:rsidRPr="00115369" w:rsidRDefault="00213DE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sectPr w:rsidR="00213DE8" w:rsidRPr="00115369">
      <w:footerReference w:type="default" r:id="rId1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C9CA3" w14:textId="77777777" w:rsidR="00195BC0" w:rsidRDefault="00195BC0">
      <w:r>
        <w:separator/>
      </w:r>
    </w:p>
  </w:endnote>
  <w:endnote w:type="continuationSeparator" w:id="0">
    <w:p w14:paraId="04B3FFEE" w14:textId="77777777" w:rsidR="00195BC0" w:rsidRDefault="00195BC0">
      <w:r>
        <w:continuationSeparator/>
      </w:r>
    </w:p>
  </w:endnote>
  <w:endnote w:type="continuationNotice" w:id="1">
    <w:p w14:paraId="0118127D" w14:textId="77777777" w:rsidR="00195BC0" w:rsidRDefault="00195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4EE45C88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F3CAA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F3CAA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649B9" w14:textId="77777777" w:rsidR="00195BC0" w:rsidRDefault="00195BC0">
      <w:r>
        <w:separator/>
      </w:r>
    </w:p>
  </w:footnote>
  <w:footnote w:type="continuationSeparator" w:id="0">
    <w:p w14:paraId="2DE8BDAA" w14:textId="77777777" w:rsidR="00195BC0" w:rsidRDefault="00195BC0">
      <w:r>
        <w:continuationSeparator/>
      </w:r>
    </w:p>
  </w:footnote>
  <w:footnote w:type="continuationNotice" w:id="1">
    <w:p w14:paraId="06C797E0" w14:textId="77777777" w:rsidR="00195BC0" w:rsidRDefault="00195B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2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8"/>
  </w:num>
  <w:num w:numId="4">
    <w:abstractNumId w:val="12"/>
  </w:num>
  <w:num w:numId="5">
    <w:abstractNumId w:val="33"/>
  </w:num>
  <w:num w:numId="6">
    <w:abstractNumId w:val="17"/>
  </w:num>
  <w:num w:numId="7">
    <w:abstractNumId w:val="26"/>
  </w:num>
  <w:num w:numId="8">
    <w:abstractNumId w:val="3"/>
  </w:num>
  <w:num w:numId="9">
    <w:abstractNumId w:val="21"/>
  </w:num>
  <w:num w:numId="10">
    <w:abstractNumId w:val="35"/>
  </w:num>
  <w:num w:numId="11">
    <w:abstractNumId w:val="14"/>
  </w:num>
  <w:num w:numId="12">
    <w:abstractNumId w:val="22"/>
  </w:num>
  <w:num w:numId="13">
    <w:abstractNumId w:val="16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31"/>
  </w:num>
  <w:num w:numId="18">
    <w:abstractNumId w:val="7"/>
  </w:num>
  <w:num w:numId="19">
    <w:abstractNumId w:val="20"/>
  </w:num>
  <w:num w:numId="20">
    <w:abstractNumId w:val="2"/>
  </w:num>
  <w:num w:numId="21">
    <w:abstractNumId w:val="37"/>
  </w:num>
  <w:num w:numId="22">
    <w:abstractNumId w:val="24"/>
  </w:num>
  <w:num w:numId="23">
    <w:abstractNumId w:val="6"/>
  </w:num>
  <w:num w:numId="24">
    <w:abstractNumId w:val="15"/>
  </w:num>
  <w:num w:numId="25">
    <w:abstractNumId w:val="34"/>
  </w:num>
  <w:num w:numId="26">
    <w:abstractNumId w:val="18"/>
  </w:num>
  <w:num w:numId="27">
    <w:abstractNumId w:val="10"/>
  </w:num>
  <w:num w:numId="28">
    <w:abstractNumId w:val="30"/>
  </w:num>
  <w:num w:numId="29">
    <w:abstractNumId w:val="32"/>
  </w:num>
  <w:num w:numId="30">
    <w:abstractNumId w:val="8"/>
  </w:num>
  <w:num w:numId="31">
    <w:abstractNumId w:val="13"/>
  </w:num>
  <w:num w:numId="32">
    <w:abstractNumId w:val="9"/>
  </w:num>
  <w:num w:numId="33">
    <w:abstractNumId w:val="19"/>
  </w:num>
  <w:num w:numId="34">
    <w:abstractNumId w:val="4"/>
  </w:num>
  <w:num w:numId="35">
    <w:abstractNumId w:val="29"/>
  </w:num>
  <w:num w:numId="36">
    <w:abstractNumId w:val="27"/>
  </w:num>
  <w:num w:numId="37">
    <w:abstractNumId w:val="1"/>
  </w:num>
  <w:num w:numId="3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6B0"/>
    <w:rsid w:val="00005244"/>
    <w:rsid w:val="00005E41"/>
    <w:rsid w:val="000061A6"/>
    <w:rsid w:val="000067FD"/>
    <w:rsid w:val="00007326"/>
    <w:rsid w:val="00007B99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D5"/>
    <w:rsid w:val="0004749C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8AF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5708"/>
    <w:rsid w:val="00076246"/>
    <w:rsid w:val="00076702"/>
    <w:rsid w:val="00076D48"/>
    <w:rsid w:val="00083F7A"/>
    <w:rsid w:val="00085047"/>
    <w:rsid w:val="0008552F"/>
    <w:rsid w:val="00085EBD"/>
    <w:rsid w:val="00086493"/>
    <w:rsid w:val="00087FC6"/>
    <w:rsid w:val="000902F6"/>
    <w:rsid w:val="00091E49"/>
    <w:rsid w:val="0009222D"/>
    <w:rsid w:val="0009331A"/>
    <w:rsid w:val="00093548"/>
    <w:rsid w:val="000968CC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45EC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158"/>
    <w:rsid w:val="00115369"/>
    <w:rsid w:val="00116280"/>
    <w:rsid w:val="001209B6"/>
    <w:rsid w:val="00120B42"/>
    <w:rsid w:val="00120F39"/>
    <w:rsid w:val="00121E9B"/>
    <w:rsid w:val="00122067"/>
    <w:rsid w:val="0012249A"/>
    <w:rsid w:val="00122806"/>
    <w:rsid w:val="00122CA8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2C93"/>
    <w:rsid w:val="0019385A"/>
    <w:rsid w:val="001939BC"/>
    <w:rsid w:val="00194A16"/>
    <w:rsid w:val="001951BB"/>
    <w:rsid w:val="001954E3"/>
    <w:rsid w:val="00195BC0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69CF"/>
    <w:rsid w:val="001B7A66"/>
    <w:rsid w:val="001C2301"/>
    <w:rsid w:val="001C2B15"/>
    <w:rsid w:val="001C4819"/>
    <w:rsid w:val="001C6BE0"/>
    <w:rsid w:val="001C795A"/>
    <w:rsid w:val="001C7F0B"/>
    <w:rsid w:val="001D0C24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4D25"/>
    <w:rsid w:val="001F50B1"/>
    <w:rsid w:val="001F5117"/>
    <w:rsid w:val="001F53B4"/>
    <w:rsid w:val="001F6A65"/>
    <w:rsid w:val="00200F8E"/>
    <w:rsid w:val="00202BB5"/>
    <w:rsid w:val="002038DC"/>
    <w:rsid w:val="00204DF9"/>
    <w:rsid w:val="00207050"/>
    <w:rsid w:val="00210E49"/>
    <w:rsid w:val="002117A7"/>
    <w:rsid w:val="00212B9A"/>
    <w:rsid w:val="00212CE5"/>
    <w:rsid w:val="00213DE8"/>
    <w:rsid w:val="0021486C"/>
    <w:rsid w:val="00214B24"/>
    <w:rsid w:val="00214F58"/>
    <w:rsid w:val="002153A7"/>
    <w:rsid w:val="0021570B"/>
    <w:rsid w:val="002166F2"/>
    <w:rsid w:val="00216BF1"/>
    <w:rsid w:val="0022080F"/>
    <w:rsid w:val="00220A6B"/>
    <w:rsid w:val="00221A4E"/>
    <w:rsid w:val="00221F35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58E"/>
    <w:rsid w:val="00233B31"/>
    <w:rsid w:val="00234710"/>
    <w:rsid w:val="00234A23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6DCB"/>
    <w:rsid w:val="00267756"/>
    <w:rsid w:val="002707C3"/>
    <w:rsid w:val="00270949"/>
    <w:rsid w:val="00271338"/>
    <w:rsid w:val="00272E62"/>
    <w:rsid w:val="00274086"/>
    <w:rsid w:val="0027475A"/>
    <w:rsid w:val="002755EC"/>
    <w:rsid w:val="0027565A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87EAE"/>
    <w:rsid w:val="00291868"/>
    <w:rsid w:val="00292114"/>
    <w:rsid w:val="00292DAB"/>
    <w:rsid w:val="00293D35"/>
    <w:rsid w:val="00294DFD"/>
    <w:rsid w:val="00295860"/>
    <w:rsid w:val="00295E90"/>
    <w:rsid w:val="002A278C"/>
    <w:rsid w:val="002A37FA"/>
    <w:rsid w:val="002A46B0"/>
    <w:rsid w:val="002A5027"/>
    <w:rsid w:val="002A5BF4"/>
    <w:rsid w:val="002A621D"/>
    <w:rsid w:val="002A64DD"/>
    <w:rsid w:val="002A70B7"/>
    <w:rsid w:val="002A7C36"/>
    <w:rsid w:val="002B03A1"/>
    <w:rsid w:val="002B17C3"/>
    <w:rsid w:val="002B242B"/>
    <w:rsid w:val="002B46AA"/>
    <w:rsid w:val="002B476A"/>
    <w:rsid w:val="002B4DA8"/>
    <w:rsid w:val="002B52F1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2011"/>
    <w:rsid w:val="002C254F"/>
    <w:rsid w:val="002C30D2"/>
    <w:rsid w:val="002C32F3"/>
    <w:rsid w:val="002C4511"/>
    <w:rsid w:val="002C508A"/>
    <w:rsid w:val="002C637D"/>
    <w:rsid w:val="002C6BD7"/>
    <w:rsid w:val="002D119A"/>
    <w:rsid w:val="002D1DBA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0CAE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D32"/>
    <w:rsid w:val="002F52B7"/>
    <w:rsid w:val="002F5E62"/>
    <w:rsid w:val="002F637F"/>
    <w:rsid w:val="002F6760"/>
    <w:rsid w:val="002F73A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134B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5793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440F"/>
    <w:rsid w:val="0034509D"/>
    <w:rsid w:val="003465C0"/>
    <w:rsid w:val="00346972"/>
    <w:rsid w:val="00346FC7"/>
    <w:rsid w:val="0034728F"/>
    <w:rsid w:val="00350905"/>
    <w:rsid w:val="003523BE"/>
    <w:rsid w:val="003525BA"/>
    <w:rsid w:val="00352965"/>
    <w:rsid w:val="00353357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052D"/>
    <w:rsid w:val="0037109A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36C7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63C"/>
    <w:rsid w:val="003A58D2"/>
    <w:rsid w:val="003A617F"/>
    <w:rsid w:val="003A6557"/>
    <w:rsid w:val="003A671D"/>
    <w:rsid w:val="003A7610"/>
    <w:rsid w:val="003B0799"/>
    <w:rsid w:val="003B09F7"/>
    <w:rsid w:val="003B0E1B"/>
    <w:rsid w:val="003B0E55"/>
    <w:rsid w:val="003B176F"/>
    <w:rsid w:val="003B1E3A"/>
    <w:rsid w:val="003B23BA"/>
    <w:rsid w:val="003B2598"/>
    <w:rsid w:val="003B381E"/>
    <w:rsid w:val="003B6EB9"/>
    <w:rsid w:val="003B78F9"/>
    <w:rsid w:val="003C0D08"/>
    <w:rsid w:val="003C1C25"/>
    <w:rsid w:val="003C1D44"/>
    <w:rsid w:val="003C24E7"/>
    <w:rsid w:val="003C2667"/>
    <w:rsid w:val="003C31C8"/>
    <w:rsid w:val="003C4DFB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17E1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4A57"/>
    <w:rsid w:val="00425017"/>
    <w:rsid w:val="004250B9"/>
    <w:rsid w:val="0042778E"/>
    <w:rsid w:val="00427875"/>
    <w:rsid w:val="00427D87"/>
    <w:rsid w:val="004313CA"/>
    <w:rsid w:val="00431FCC"/>
    <w:rsid w:val="00432833"/>
    <w:rsid w:val="00432C76"/>
    <w:rsid w:val="00432D70"/>
    <w:rsid w:val="00433022"/>
    <w:rsid w:val="00434496"/>
    <w:rsid w:val="00435325"/>
    <w:rsid w:val="00441FCE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670A1"/>
    <w:rsid w:val="0047094D"/>
    <w:rsid w:val="00471C90"/>
    <w:rsid w:val="00472176"/>
    <w:rsid w:val="00472449"/>
    <w:rsid w:val="00472A43"/>
    <w:rsid w:val="0047438A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E6F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4A4C"/>
    <w:rsid w:val="004B636C"/>
    <w:rsid w:val="004B6984"/>
    <w:rsid w:val="004C0B2A"/>
    <w:rsid w:val="004C19E1"/>
    <w:rsid w:val="004C26C6"/>
    <w:rsid w:val="004C3ED4"/>
    <w:rsid w:val="004C448F"/>
    <w:rsid w:val="004C53B0"/>
    <w:rsid w:val="004C75B3"/>
    <w:rsid w:val="004C76A4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707C"/>
    <w:rsid w:val="004D7F9D"/>
    <w:rsid w:val="004E21E0"/>
    <w:rsid w:val="004E21F1"/>
    <w:rsid w:val="004E2821"/>
    <w:rsid w:val="004E2CE6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078C6"/>
    <w:rsid w:val="0051141C"/>
    <w:rsid w:val="00511472"/>
    <w:rsid w:val="005131DF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3C31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0967"/>
    <w:rsid w:val="005611B6"/>
    <w:rsid w:val="00561E89"/>
    <w:rsid w:val="005626BC"/>
    <w:rsid w:val="005629D6"/>
    <w:rsid w:val="00562FAA"/>
    <w:rsid w:val="00563C7A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5D0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385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BAA"/>
    <w:rsid w:val="005D2D32"/>
    <w:rsid w:val="005D2D43"/>
    <w:rsid w:val="005D2E44"/>
    <w:rsid w:val="005D2F66"/>
    <w:rsid w:val="005D33C3"/>
    <w:rsid w:val="005D357B"/>
    <w:rsid w:val="005D45E6"/>
    <w:rsid w:val="005D4CC0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15DB"/>
    <w:rsid w:val="005F2103"/>
    <w:rsid w:val="005F260C"/>
    <w:rsid w:val="005F264C"/>
    <w:rsid w:val="005F2760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5198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66AE"/>
    <w:rsid w:val="00617927"/>
    <w:rsid w:val="00620F65"/>
    <w:rsid w:val="006226BB"/>
    <w:rsid w:val="006228D3"/>
    <w:rsid w:val="00622FD6"/>
    <w:rsid w:val="006230AB"/>
    <w:rsid w:val="00623461"/>
    <w:rsid w:val="00623C36"/>
    <w:rsid w:val="00624A80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576A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12C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592B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5A7F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87BCF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97BF7"/>
    <w:rsid w:val="006A0D39"/>
    <w:rsid w:val="006A1499"/>
    <w:rsid w:val="006A1906"/>
    <w:rsid w:val="006A3994"/>
    <w:rsid w:val="006A4FB6"/>
    <w:rsid w:val="006A5260"/>
    <w:rsid w:val="006A734C"/>
    <w:rsid w:val="006A7B66"/>
    <w:rsid w:val="006B06A7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1EC8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D6F1C"/>
    <w:rsid w:val="006D77DB"/>
    <w:rsid w:val="006E0017"/>
    <w:rsid w:val="006E0C9B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CEB"/>
    <w:rsid w:val="007311BA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52"/>
    <w:rsid w:val="00782C84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3C4"/>
    <w:rsid w:val="007B0777"/>
    <w:rsid w:val="007B159B"/>
    <w:rsid w:val="007B3578"/>
    <w:rsid w:val="007B39E4"/>
    <w:rsid w:val="007B3CB3"/>
    <w:rsid w:val="007B3FB5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14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171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25E2E"/>
    <w:rsid w:val="0083214E"/>
    <w:rsid w:val="008325CF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DD2"/>
    <w:rsid w:val="00854A18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DEF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310F"/>
    <w:rsid w:val="008B390B"/>
    <w:rsid w:val="008B4783"/>
    <w:rsid w:val="008B532D"/>
    <w:rsid w:val="008B59E4"/>
    <w:rsid w:val="008B629C"/>
    <w:rsid w:val="008B639D"/>
    <w:rsid w:val="008B6BA7"/>
    <w:rsid w:val="008C0A9B"/>
    <w:rsid w:val="008C0F3F"/>
    <w:rsid w:val="008C1419"/>
    <w:rsid w:val="008C1524"/>
    <w:rsid w:val="008C25B9"/>
    <w:rsid w:val="008C28A7"/>
    <w:rsid w:val="008C3096"/>
    <w:rsid w:val="008C38DA"/>
    <w:rsid w:val="008C44C9"/>
    <w:rsid w:val="008C4FC1"/>
    <w:rsid w:val="008C649A"/>
    <w:rsid w:val="008C7CAC"/>
    <w:rsid w:val="008D1375"/>
    <w:rsid w:val="008D18F0"/>
    <w:rsid w:val="008D21E2"/>
    <w:rsid w:val="008D36A7"/>
    <w:rsid w:val="008D36FC"/>
    <w:rsid w:val="008D3AE0"/>
    <w:rsid w:val="008D4AF6"/>
    <w:rsid w:val="008E0892"/>
    <w:rsid w:val="008E1C8D"/>
    <w:rsid w:val="008E1E54"/>
    <w:rsid w:val="008E20CA"/>
    <w:rsid w:val="008E2E9E"/>
    <w:rsid w:val="008E4879"/>
    <w:rsid w:val="008E61AA"/>
    <w:rsid w:val="008E7DC9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4D0"/>
    <w:rsid w:val="0091166C"/>
    <w:rsid w:val="00912A30"/>
    <w:rsid w:val="00917AB8"/>
    <w:rsid w:val="0092071C"/>
    <w:rsid w:val="00920849"/>
    <w:rsid w:val="00920F10"/>
    <w:rsid w:val="009217D9"/>
    <w:rsid w:val="0092254D"/>
    <w:rsid w:val="00923D18"/>
    <w:rsid w:val="00924555"/>
    <w:rsid w:val="00925BF2"/>
    <w:rsid w:val="009268E8"/>
    <w:rsid w:val="00926A30"/>
    <w:rsid w:val="009270B8"/>
    <w:rsid w:val="00927D40"/>
    <w:rsid w:val="00930BCD"/>
    <w:rsid w:val="00930C26"/>
    <w:rsid w:val="00931055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4DCC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D3A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02F4"/>
    <w:rsid w:val="009A10E8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785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040"/>
    <w:rsid w:val="009C48D9"/>
    <w:rsid w:val="009C48E2"/>
    <w:rsid w:val="009C57AD"/>
    <w:rsid w:val="009C5802"/>
    <w:rsid w:val="009C7CE9"/>
    <w:rsid w:val="009D1648"/>
    <w:rsid w:val="009D2BA4"/>
    <w:rsid w:val="009D3B16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36C7"/>
    <w:rsid w:val="009F468A"/>
    <w:rsid w:val="009F52B7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5FA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26B12"/>
    <w:rsid w:val="00A30177"/>
    <w:rsid w:val="00A311F4"/>
    <w:rsid w:val="00A31271"/>
    <w:rsid w:val="00A31BCF"/>
    <w:rsid w:val="00A3362D"/>
    <w:rsid w:val="00A33945"/>
    <w:rsid w:val="00A34455"/>
    <w:rsid w:val="00A349E2"/>
    <w:rsid w:val="00A34EFA"/>
    <w:rsid w:val="00A3735E"/>
    <w:rsid w:val="00A41964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583F"/>
    <w:rsid w:val="00A55C81"/>
    <w:rsid w:val="00A55DEA"/>
    <w:rsid w:val="00A56ACE"/>
    <w:rsid w:val="00A56DBA"/>
    <w:rsid w:val="00A56EB5"/>
    <w:rsid w:val="00A56ECD"/>
    <w:rsid w:val="00A57809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1260"/>
    <w:rsid w:val="00AE2E04"/>
    <w:rsid w:val="00AE3187"/>
    <w:rsid w:val="00AE3C1B"/>
    <w:rsid w:val="00AE420B"/>
    <w:rsid w:val="00AE6068"/>
    <w:rsid w:val="00AE684C"/>
    <w:rsid w:val="00AE75C1"/>
    <w:rsid w:val="00AE7DBC"/>
    <w:rsid w:val="00AE7E39"/>
    <w:rsid w:val="00AF171A"/>
    <w:rsid w:val="00AF3BD0"/>
    <w:rsid w:val="00AF61A8"/>
    <w:rsid w:val="00AF6470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5AAE"/>
    <w:rsid w:val="00B167CE"/>
    <w:rsid w:val="00B17094"/>
    <w:rsid w:val="00B17412"/>
    <w:rsid w:val="00B20008"/>
    <w:rsid w:val="00B20EDE"/>
    <w:rsid w:val="00B2111C"/>
    <w:rsid w:val="00B21D3D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3C2D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7426"/>
    <w:rsid w:val="00B710B2"/>
    <w:rsid w:val="00B72DBA"/>
    <w:rsid w:val="00B7344B"/>
    <w:rsid w:val="00B7407D"/>
    <w:rsid w:val="00B7567B"/>
    <w:rsid w:val="00B7620C"/>
    <w:rsid w:val="00B7783E"/>
    <w:rsid w:val="00B80197"/>
    <w:rsid w:val="00B80898"/>
    <w:rsid w:val="00B814F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1739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BB9"/>
    <w:rsid w:val="00C05FA2"/>
    <w:rsid w:val="00C0675F"/>
    <w:rsid w:val="00C07F8E"/>
    <w:rsid w:val="00C10CAA"/>
    <w:rsid w:val="00C11D9B"/>
    <w:rsid w:val="00C12D50"/>
    <w:rsid w:val="00C1494F"/>
    <w:rsid w:val="00C15B6C"/>
    <w:rsid w:val="00C15F13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17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E55"/>
    <w:rsid w:val="00C50F6C"/>
    <w:rsid w:val="00C52764"/>
    <w:rsid w:val="00C53584"/>
    <w:rsid w:val="00C56617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FFD"/>
    <w:rsid w:val="00C721E4"/>
    <w:rsid w:val="00C72757"/>
    <w:rsid w:val="00C72E60"/>
    <w:rsid w:val="00C72EDE"/>
    <w:rsid w:val="00C74A2B"/>
    <w:rsid w:val="00C74CEC"/>
    <w:rsid w:val="00C760D2"/>
    <w:rsid w:val="00C7708C"/>
    <w:rsid w:val="00C77BB8"/>
    <w:rsid w:val="00C801A9"/>
    <w:rsid w:val="00C802F1"/>
    <w:rsid w:val="00C80DAB"/>
    <w:rsid w:val="00C81609"/>
    <w:rsid w:val="00C816B3"/>
    <w:rsid w:val="00C82188"/>
    <w:rsid w:val="00C82269"/>
    <w:rsid w:val="00C82CC5"/>
    <w:rsid w:val="00C84233"/>
    <w:rsid w:val="00C84839"/>
    <w:rsid w:val="00C85AA9"/>
    <w:rsid w:val="00C867E1"/>
    <w:rsid w:val="00C8696D"/>
    <w:rsid w:val="00C87BD3"/>
    <w:rsid w:val="00C90969"/>
    <w:rsid w:val="00C9353F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7807"/>
    <w:rsid w:val="00CC1BD6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0772E"/>
    <w:rsid w:val="00D11EA6"/>
    <w:rsid w:val="00D1234E"/>
    <w:rsid w:val="00D12C40"/>
    <w:rsid w:val="00D15F7F"/>
    <w:rsid w:val="00D160E6"/>
    <w:rsid w:val="00D163D6"/>
    <w:rsid w:val="00D177C1"/>
    <w:rsid w:val="00D20E47"/>
    <w:rsid w:val="00D2119D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1BE"/>
    <w:rsid w:val="00D354E0"/>
    <w:rsid w:val="00D37E84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57722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526"/>
    <w:rsid w:val="00D712FE"/>
    <w:rsid w:val="00D732C2"/>
    <w:rsid w:val="00D73304"/>
    <w:rsid w:val="00D7385B"/>
    <w:rsid w:val="00D748C9"/>
    <w:rsid w:val="00D749D4"/>
    <w:rsid w:val="00D76293"/>
    <w:rsid w:val="00D779B6"/>
    <w:rsid w:val="00D80897"/>
    <w:rsid w:val="00D80C25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3D72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2F29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160"/>
    <w:rsid w:val="00DD0A6A"/>
    <w:rsid w:val="00DD1529"/>
    <w:rsid w:val="00DD1888"/>
    <w:rsid w:val="00DD1909"/>
    <w:rsid w:val="00DD1D82"/>
    <w:rsid w:val="00DD24A3"/>
    <w:rsid w:val="00DD32A5"/>
    <w:rsid w:val="00DD4783"/>
    <w:rsid w:val="00DD4EE9"/>
    <w:rsid w:val="00DD4F84"/>
    <w:rsid w:val="00DD5007"/>
    <w:rsid w:val="00DD5F06"/>
    <w:rsid w:val="00DD757F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A88"/>
    <w:rsid w:val="00DF7ACC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811"/>
    <w:rsid w:val="00E134C0"/>
    <w:rsid w:val="00E14212"/>
    <w:rsid w:val="00E146EC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03F5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0D3C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63A0"/>
    <w:rsid w:val="00EA706E"/>
    <w:rsid w:val="00EB28F4"/>
    <w:rsid w:val="00EB2DC3"/>
    <w:rsid w:val="00EB6E19"/>
    <w:rsid w:val="00EB78FA"/>
    <w:rsid w:val="00EC0201"/>
    <w:rsid w:val="00EC0C8D"/>
    <w:rsid w:val="00EC0D03"/>
    <w:rsid w:val="00EC169C"/>
    <w:rsid w:val="00EC181E"/>
    <w:rsid w:val="00EC2394"/>
    <w:rsid w:val="00EC2DE2"/>
    <w:rsid w:val="00EC4FF4"/>
    <w:rsid w:val="00EC52C3"/>
    <w:rsid w:val="00EC52CF"/>
    <w:rsid w:val="00EC6659"/>
    <w:rsid w:val="00ED216D"/>
    <w:rsid w:val="00ED2F70"/>
    <w:rsid w:val="00ED3C52"/>
    <w:rsid w:val="00ED4984"/>
    <w:rsid w:val="00ED4AC7"/>
    <w:rsid w:val="00ED4E30"/>
    <w:rsid w:val="00ED5AFB"/>
    <w:rsid w:val="00ED5B1C"/>
    <w:rsid w:val="00ED69A1"/>
    <w:rsid w:val="00ED6A14"/>
    <w:rsid w:val="00ED7263"/>
    <w:rsid w:val="00ED7FA3"/>
    <w:rsid w:val="00EE0A56"/>
    <w:rsid w:val="00EE0DF5"/>
    <w:rsid w:val="00EE0FEC"/>
    <w:rsid w:val="00EE1289"/>
    <w:rsid w:val="00EE1C44"/>
    <w:rsid w:val="00EE4080"/>
    <w:rsid w:val="00EE539D"/>
    <w:rsid w:val="00EE5613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3CAA"/>
    <w:rsid w:val="00EF4843"/>
    <w:rsid w:val="00EF5A56"/>
    <w:rsid w:val="00EF6417"/>
    <w:rsid w:val="00EF72DA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1F1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2E8A"/>
    <w:rsid w:val="00F2310B"/>
    <w:rsid w:val="00F23479"/>
    <w:rsid w:val="00F23E82"/>
    <w:rsid w:val="00F24295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322C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4EB"/>
    <w:rsid w:val="00F629C6"/>
    <w:rsid w:val="00F629E8"/>
    <w:rsid w:val="00F639C4"/>
    <w:rsid w:val="00F6562E"/>
    <w:rsid w:val="00F66A77"/>
    <w:rsid w:val="00F67C18"/>
    <w:rsid w:val="00F72285"/>
    <w:rsid w:val="00F73D30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EDA"/>
    <w:rsid w:val="00FB2F51"/>
    <w:rsid w:val="00FB562C"/>
    <w:rsid w:val="00FB6162"/>
    <w:rsid w:val="00FB76FC"/>
    <w:rsid w:val="00FC0B1F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3A2C"/>
    <w:rsid w:val="00FE413A"/>
    <w:rsid w:val="00FE52F2"/>
    <w:rsid w:val="00FE6784"/>
    <w:rsid w:val="00FE7E5E"/>
    <w:rsid w:val="00FE7EBA"/>
    <w:rsid w:val="00FF18B1"/>
    <w:rsid w:val="00FF2EC0"/>
    <w:rsid w:val="00FF418C"/>
    <w:rsid w:val="00FF5121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62E19934-5B41-40D7-9EB8-BE5311E3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  <w:style w:type="paragraph" w:customStyle="1" w:styleId="enumlev1">
    <w:name w:val="enumlev1"/>
    <w:basedOn w:val="a1"/>
    <w:link w:val="enumlev1Char"/>
    <w:qFormat/>
    <w:rsid w:val="00533C3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Theme="minorEastAsia"/>
      <w:noProof w:val="0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533C31"/>
    <w:rPr>
      <w:rFonts w:eastAsiaTheme="minorEastAsia"/>
      <w:sz w:val="24"/>
      <w:lang w:val="en-GB"/>
    </w:rPr>
  </w:style>
  <w:style w:type="paragraph" w:customStyle="1" w:styleId="Tablefin">
    <w:name w:val="Table_fin"/>
    <w:basedOn w:val="a1"/>
    <w:rsid w:val="00EC0C8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purl.org/dc/elements/1.1/"/>
    <ds:schemaRef ds:uri="c5e8e5fa-a89f-462c-b3c4-e0c63dd5bf15"/>
    <ds:schemaRef ds:uri="http://purl.org/dc/terms/"/>
    <ds:schemaRef ds:uri="b99d8371-7959-447c-b1e6-b32e64889764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AD435C-679C-4E16-AEF4-CA4791CCF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820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8</cp:revision>
  <cp:lastPrinted>2013-01-18T02:26:00Z</cp:lastPrinted>
  <dcterms:created xsi:type="dcterms:W3CDTF">2018-08-10T02:04:00Z</dcterms:created>
  <dcterms:modified xsi:type="dcterms:W3CDTF">2018-09-28T08:11:00Z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