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9681832"/>
    <w:p w14:paraId="3E1CAA54" w14:textId="77777777" w:rsidR="003D2420" w:rsidRPr="00521442" w:rsidRDefault="003D2420" w:rsidP="00521442">
      <w:pPr>
        <w:tabs>
          <w:tab w:val="right" w:pos="9216"/>
        </w:tabs>
        <w:spacing w:after="0"/>
        <w:jc w:val="left"/>
        <w:rPr>
          <w:b/>
          <w:kern w:val="2"/>
          <w:lang w:eastAsia="zh-CN"/>
        </w:rPr>
      </w:pPr>
      <w:r w:rsidRPr="00521442">
        <w:rPr>
          <w:b/>
          <w:noProof/>
        </w:rPr>
        <mc:AlternateContent>
          <mc:Choice Requires="wps">
            <w:drawing>
              <wp:anchor distT="0" distB="0" distL="114300" distR="114300" simplePos="0" relativeHeight="251659264" behindDoc="0" locked="1" layoutInCell="1" allowOverlap="1" wp14:anchorId="594AAB26" wp14:editId="2094C4F2">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0416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21442">
        <w:rPr>
          <w:b/>
          <w:kern w:val="2"/>
          <w:lang w:eastAsia="zh-CN"/>
        </w:rPr>
        <w:t>3GPP TSG RAN WG1 Meeting #94bis</w:t>
      </w:r>
      <w:r w:rsidRPr="00521442">
        <w:rPr>
          <w:b/>
          <w:kern w:val="2"/>
          <w:lang w:eastAsia="zh-CN"/>
        </w:rPr>
        <w:tab/>
        <w:t>R1-1810138</w:t>
      </w:r>
    </w:p>
    <w:p w14:paraId="6CBF3A98" w14:textId="77777777" w:rsidR="003D2420" w:rsidRPr="00521442" w:rsidRDefault="003D2420" w:rsidP="00521442">
      <w:pPr>
        <w:jc w:val="left"/>
        <w:rPr>
          <w:b/>
          <w:kern w:val="2"/>
          <w:lang w:eastAsia="zh-CN"/>
        </w:rPr>
      </w:pPr>
      <w:r w:rsidRPr="00521442">
        <w:rPr>
          <w:b/>
          <w:kern w:val="2"/>
          <w:lang w:eastAsia="zh-CN"/>
        </w:rPr>
        <w:t>Chengdu, China, October 8-12, 2018</w:t>
      </w:r>
    </w:p>
    <w:p w14:paraId="7F37D080" w14:textId="77777777" w:rsidR="003D2420" w:rsidRPr="00521442" w:rsidRDefault="003D2420" w:rsidP="00521442">
      <w:pPr>
        <w:pBdr>
          <w:top w:val="single" w:sz="4" w:space="1" w:color="auto"/>
        </w:pBdr>
        <w:spacing w:after="0"/>
        <w:jc w:val="left"/>
        <w:rPr>
          <w:b/>
          <w:kern w:val="2"/>
          <w:sz w:val="16"/>
          <w:szCs w:val="16"/>
          <w:lang w:eastAsia="zh-CN"/>
        </w:rPr>
      </w:pPr>
    </w:p>
    <w:p w14:paraId="1B46C54C" w14:textId="77777777" w:rsidR="003D2420" w:rsidRPr="00521442" w:rsidRDefault="003D2420" w:rsidP="00521442">
      <w:pPr>
        <w:spacing w:after="60"/>
        <w:ind w:left="1555" w:hanging="1555"/>
        <w:jc w:val="left"/>
        <w:rPr>
          <w:b/>
          <w:kern w:val="2"/>
          <w:lang w:eastAsia="zh-CN"/>
        </w:rPr>
      </w:pPr>
      <w:r w:rsidRPr="00521442">
        <w:rPr>
          <w:b/>
          <w:kern w:val="2"/>
          <w:lang w:eastAsia="zh-CN"/>
        </w:rPr>
        <w:t>Agenda Item:</w:t>
      </w:r>
      <w:r w:rsidRPr="00521442">
        <w:rPr>
          <w:b/>
          <w:kern w:val="2"/>
          <w:lang w:eastAsia="zh-CN"/>
        </w:rPr>
        <w:tab/>
        <w:t>7.2.4.1.2</w:t>
      </w:r>
    </w:p>
    <w:p w14:paraId="050BC5C3" w14:textId="77777777" w:rsidR="003D2420" w:rsidRPr="00521442" w:rsidRDefault="003D2420" w:rsidP="00521442">
      <w:pPr>
        <w:spacing w:after="60"/>
        <w:ind w:left="1555" w:hanging="1555"/>
        <w:jc w:val="left"/>
        <w:rPr>
          <w:b/>
          <w:kern w:val="2"/>
          <w:lang w:eastAsia="zh-CN"/>
        </w:rPr>
      </w:pPr>
      <w:r w:rsidRPr="00521442">
        <w:rPr>
          <w:b/>
          <w:kern w:val="2"/>
          <w:lang w:eastAsia="zh-CN"/>
        </w:rPr>
        <w:t>Source:</w:t>
      </w:r>
      <w:r w:rsidRPr="00521442">
        <w:rPr>
          <w:b/>
          <w:kern w:val="2"/>
          <w:lang w:eastAsia="zh-CN"/>
        </w:rPr>
        <w:tab/>
        <w:t>Huawei, HiSilicon</w:t>
      </w:r>
    </w:p>
    <w:p w14:paraId="2FAE7274" w14:textId="77777777" w:rsidR="003D2420" w:rsidRPr="00521442" w:rsidRDefault="003D2420" w:rsidP="00521442">
      <w:pPr>
        <w:spacing w:after="60"/>
        <w:ind w:left="1555" w:hanging="1555"/>
        <w:jc w:val="left"/>
        <w:rPr>
          <w:b/>
          <w:kern w:val="2"/>
          <w:lang w:eastAsia="zh-CN"/>
        </w:rPr>
      </w:pPr>
      <w:r w:rsidRPr="00521442">
        <w:rPr>
          <w:b/>
          <w:kern w:val="2"/>
          <w:lang w:eastAsia="zh-CN"/>
        </w:rPr>
        <w:t>Title:</w:t>
      </w:r>
      <w:r w:rsidRPr="00521442">
        <w:rPr>
          <w:b/>
          <w:kern w:val="2"/>
          <w:lang w:eastAsia="zh-CN"/>
        </w:rPr>
        <w:tab/>
        <w:t>Sidelink PHY structure and procedure for NR V2X</w:t>
      </w:r>
    </w:p>
    <w:p w14:paraId="526990D9" w14:textId="77777777" w:rsidR="003D2420" w:rsidRPr="00521442" w:rsidRDefault="003D2420" w:rsidP="00521442">
      <w:pPr>
        <w:spacing w:after="60"/>
        <w:ind w:left="1555" w:hanging="1555"/>
        <w:jc w:val="left"/>
        <w:rPr>
          <w:b/>
          <w:lang w:eastAsia="zh-CN"/>
        </w:rPr>
      </w:pPr>
      <w:r w:rsidRPr="00521442">
        <w:rPr>
          <w:b/>
          <w:lang w:eastAsia="zh-CN"/>
        </w:rPr>
        <w:t>Document for:</w:t>
      </w:r>
      <w:r w:rsidRPr="00521442">
        <w:rPr>
          <w:b/>
          <w:lang w:eastAsia="zh-CN"/>
        </w:rPr>
        <w:tab/>
        <w:t xml:space="preserve">Discussion and decision </w:t>
      </w:r>
    </w:p>
    <w:p w14:paraId="36E6C454" w14:textId="77777777" w:rsidR="003D2420" w:rsidRPr="00521442" w:rsidRDefault="003D2420" w:rsidP="00521442">
      <w:pPr>
        <w:pBdr>
          <w:bottom w:val="single" w:sz="4" w:space="1" w:color="auto"/>
        </w:pBdr>
        <w:spacing w:after="0"/>
        <w:jc w:val="left"/>
        <w:rPr>
          <w:b/>
          <w:kern w:val="2"/>
          <w:sz w:val="16"/>
          <w:szCs w:val="16"/>
          <w:lang w:eastAsia="zh-CN"/>
        </w:rPr>
      </w:pPr>
    </w:p>
    <w:p w14:paraId="4E0688C8" w14:textId="77777777" w:rsidR="003D2420" w:rsidRPr="00521442" w:rsidRDefault="003D2420" w:rsidP="003D2420">
      <w:pPr>
        <w:pStyle w:val="Heading1"/>
        <w:snapToGrid/>
        <w:contextualSpacing/>
      </w:pPr>
      <w:bookmarkStart w:id="1" w:name="_Ref124589705"/>
      <w:bookmarkStart w:id="2" w:name="_Ref129681862"/>
      <w:r w:rsidRPr="00521442">
        <w:t>Introduction</w:t>
      </w:r>
      <w:bookmarkEnd w:id="1"/>
      <w:bookmarkEnd w:id="2"/>
    </w:p>
    <w:p w14:paraId="6BBA3852" w14:textId="77777777" w:rsidR="003D2420" w:rsidRPr="00521442" w:rsidRDefault="003D2420" w:rsidP="003D2420">
      <w:pPr>
        <w:rPr>
          <w:rFonts w:eastAsia="MS Mincho"/>
        </w:rPr>
      </w:pPr>
      <w:r w:rsidRPr="00521442">
        <w:rPr>
          <w:rFonts w:eastAsia="MS Mincho"/>
        </w:rPr>
        <w:t>At RAN1#94, some initial agreements were taken, notably:</w:t>
      </w:r>
    </w:p>
    <w:p w14:paraId="620F8F8F" w14:textId="77777777" w:rsidR="003D2420" w:rsidRPr="00521442" w:rsidRDefault="003D2420" w:rsidP="003D2420">
      <w:pPr>
        <w:numPr>
          <w:ilvl w:val="0"/>
          <w:numId w:val="12"/>
        </w:numPr>
        <w:autoSpaceDE/>
        <w:autoSpaceDN/>
        <w:adjustRightInd/>
        <w:snapToGrid/>
        <w:spacing w:after="0"/>
        <w:rPr>
          <w:i/>
          <w:szCs w:val="20"/>
        </w:rPr>
      </w:pPr>
      <w:r w:rsidRPr="00521442">
        <w:rPr>
          <w:i/>
          <w:szCs w:val="20"/>
        </w:rPr>
        <w:t xml:space="preserve">At least PSCCH and PSSCH are defined for NR V2X. PSCCH </w:t>
      </w:r>
      <w:r w:rsidRPr="00521442">
        <w:rPr>
          <w:rFonts w:hint="eastAsia"/>
          <w:i/>
          <w:szCs w:val="20"/>
        </w:rPr>
        <w:t>at least carries</w:t>
      </w:r>
      <w:r w:rsidRPr="00521442">
        <w:rPr>
          <w:i/>
          <w:szCs w:val="20"/>
        </w:rPr>
        <w:t xml:space="preserve"> information necessary to </w:t>
      </w:r>
      <w:r w:rsidRPr="00521442">
        <w:rPr>
          <w:rFonts w:hint="eastAsia"/>
          <w:i/>
          <w:szCs w:val="20"/>
        </w:rPr>
        <w:t>decode</w:t>
      </w:r>
      <w:r w:rsidRPr="00521442">
        <w:rPr>
          <w:i/>
          <w:szCs w:val="20"/>
        </w:rPr>
        <w:t xml:space="preserve"> PSSCH.</w:t>
      </w:r>
    </w:p>
    <w:p w14:paraId="0A033ED7" w14:textId="77777777" w:rsidR="003D2420" w:rsidRPr="00521442" w:rsidRDefault="003D2420" w:rsidP="003D2420">
      <w:pPr>
        <w:numPr>
          <w:ilvl w:val="1"/>
          <w:numId w:val="12"/>
        </w:numPr>
        <w:autoSpaceDE/>
        <w:autoSpaceDN/>
        <w:adjustRightInd/>
        <w:snapToGrid/>
        <w:spacing w:after="0"/>
        <w:rPr>
          <w:i/>
          <w:szCs w:val="20"/>
        </w:rPr>
      </w:pPr>
      <w:r w:rsidRPr="00521442">
        <w:rPr>
          <w:rFonts w:hint="eastAsia"/>
          <w:i/>
          <w:szCs w:val="20"/>
        </w:rPr>
        <w:t>Note: PSBCH will be discussed in the synchronization agenda.</w:t>
      </w:r>
    </w:p>
    <w:p w14:paraId="398E6212" w14:textId="77777777" w:rsidR="003D2420" w:rsidRPr="00521442" w:rsidRDefault="003D2420" w:rsidP="003D2420">
      <w:pPr>
        <w:numPr>
          <w:ilvl w:val="0"/>
          <w:numId w:val="12"/>
        </w:numPr>
        <w:autoSpaceDE/>
        <w:autoSpaceDN/>
        <w:adjustRightInd/>
        <w:snapToGrid/>
        <w:spacing w:after="0"/>
        <w:rPr>
          <w:i/>
          <w:szCs w:val="20"/>
        </w:rPr>
      </w:pPr>
      <w:r w:rsidRPr="00521442">
        <w:rPr>
          <w:rFonts w:hint="eastAsia"/>
          <w:i/>
          <w:szCs w:val="20"/>
        </w:rPr>
        <w:t xml:space="preserve">RAN1 continues study on the necessity of other channels. </w:t>
      </w:r>
    </w:p>
    <w:p w14:paraId="26552D93" w14:textId="77777777" w:rsidR="003D2420" w:rsidRPr="00521442" w:rsidRDefault="003D2420" w:rsidP="003D2420">
      <w:pPr>
        <w:numPr>
          <w:ilvl w:val="0"/>
          <w:numId w:val="12"/>
        </w:numPr>
        <w:autoSpaceDE/>
        <w:autoSpaceDN/>
        <w:adjustRightInd/>
        <w:snapToGrid/>
        <w:spacing w:after="0"/>
        <w:rPr>
          <w:i/>
          <w:szCs w:val="20"/>
        </w:rPr>
      </w:pPr>
      <w:r w:rsidRPr="00521442">
        <w:rPr>
          <w:rFonts w:hint="eastAsia"/>
          <w:i/>
          <w:szCs w:val="20"/>
        </w:rPr>
        <w:t>Further study on</w:t>
      </w:r>
    </w:p>
    <w:p w14:paraId="2CC21C7F" w14:textId="77777777" w:rsidR="003D2420" w:rsidRPr="00521442" w:rsidRDefault="003D2420" w:rsidP="003D2420">
      <w:pPr>
        <w:numPr>
          <w:ilvl w:val="1"/>
          <w:numId w:val="12"/>
        </w:numPr>
        <w:autoSpaceDE/>
        <w:autoSpaceDN/>
        <w:adjustRightInd/>
        <w:snapToGrid/>
        <w:spacing w:after="0"/>
        <w:rPr>
          <w:i/>
          <w:szCs w:val="20"/>
        </w:rPr>
      </w:pPr>
      <w:r w:rsidRPr="00521442">
        <w:rPr>
          <w:i/>
          <w:szCs w:val="20"/>
        </w:rPr>
        <w:t>W</w:t>
      </w:r>
      <w:r w:rsidRPr="00521442">
        <w:rPr>
          <w:rFonts w:hint="eastAsia"/>
          <w:i/>
          <w:szCs w:val="20"/>
        </w:rPr>
        <w:t>hether/which sidelink feedback information is carried by PSCCH or by another channel/signal.</w:t>
      </w:r>
    </w:p>
    <w:p w14:paraId="2DCC018A" w14:textId="77777777" w:rsidR="003D2420" w:rsidRPr="00521442" w:rsidRDefault="003D2420" w:rsidP="003D2420">
      <w:pPr>
        <w:numPr>
          <w:ilvl w:val="1"/>
          <w:numId w:val="12"/>
        </w:numPr>
        <w:autoSpaceDE/>
        <w:autoSpaceDN/>
        <w:adjustRightInd/>
        <w:snapToGrid/>
        <w:spacing w:after="0"/>
        <w:rPr>
          <w:i/>
          <w:szCs w:val="20"/>
        </w:rPr>
      </w:pPr>
      <w:r w:rsidRPr="00521442">
        <w:rPr>
          <w:i/>
          <w:szCs w:val="20"/>
        </w:rPr>
        <w:t>W</w:t>
      </w:r>
      <w:r w:rsidRPr="00521442">
        <w:rPr>
          <w:rFonts w:hint="eastAsia"/>
          <w:i/>
          <w:szCs w:val="20"/>
        </w:rPr>
        <w:t>hether/which information to assist resource allocation and/or schedule UE</w:t>
      </w:r>
      <w:r w:rsidRPr="00521442">
        <w:rPr>
          <w:i/>
          <w:szCs w:val="20"/>
        </w:rPr>
        <w:t>’</w:t>
      </w:r>
      <w:r w:rsidRPr="00521442">
        <w:rPr>
          <w:rFonts w:hint="eastAsia"/>
          <w:i/>
          <w:szCs w:val="20"/>
        </w:rPr>
        <w:t>s transmission resource(s) is carried by PSCCH or by another channel/signal.</w:t>
      </w:r>
    </w:p>
    <w:p w14:paraId="0663D6F7" w14:textId="77777777" w:rsidR="003D2420" w:rsidRPr="00521442" w:rsidRDefault="003D2420" w:rsidP="003D2420">
      <w:pPr>
        <w:autoSpaceDE/>
        <w:autoSpaceDN/>
        <w:adjustRightInd/>
        <w:spacing w:after="0"/>
        <w:ind w:left="1440"/>
        <w:rPr>
          <w:i/>
          <w:szCs w:val="20"/>
        </w:rPr>
      </w:pPr>
      <w:r w:rsidRPr="00521442">
        <w:rPr>
          <w:rFonts w:hint="eastAsia"/>
          <w:i/>
          <w:szCs w:val="20"/>
        </w:rPr>
        <w:t>PSCCH format(s) and content(s) for unicast, groupcast, and broadcast</w:t>
      </w:r>
    </w:p>
    <w:p w14:paraId="3F3A6E50" w14:textId="77777777" w:rsidR="003D2420" w:rsidRPr="00521442" w:rsidRDefault="003D2420" w:rsidP="003D2420">
      <w:pPr>
        <w:rPr>
          <w:rFonts w:eastAsia="MS Mincho"/>
        </w:rPr>
      </w:pPr>
    </w:p>
    <w:p w14:paraId="3FA6CFD3" w14:textId="327EB083" w:rsidR="003D2420" w:rsidRPr="00521442" w:rsidRDefault="003D2420" w:rsidP="003D2420">
      <w:pPr>
        <w:rPr>
          <w:rFonts w:eastAsia="MS Mincho"/>
        </w:rPr>
      </w:pPr>
      <w:r w:rsidRPr="00521442">
        <w:rPr>
          <w:rFonts w:eastAsia="MS Mincho"/>
        </w:rPr>
        <w:t xml:space="preserve">In addition, a list of issues to investigate was produced [2]. It includes waveform (CP-OFDM or DFT-s-OFDM), subcarrier spacing, CP length, RS design, modulation, channel coding, RE mapping, scrambling. In addition, BWP and resource pools were discussed, as well as AGC and guard time, and PSSCH/PSCCH multiplexing. In this contribution, we discuss all these issues. </w:t>
      </w:r>
    </w:p>
    <w:p w14:paraId="7D7FA68B" w14:textId="77777777" w:rsidR="003D2420" w:rsidRPr="00521442" w:rsidRDefault="003D2420" w:rsidP="003D2420">
      <w:pPr>
        <w:pStyle w:val="Heading1"/>
      </w:pPr>
      <w:r w:rsidRPr="00521442">
        <w:t>Discussion on physical layer structure and procedure for NR V2X</w:t>
      </w:r>
    </w:p>
    <w:p w14:paraId="25251AFC" w14:textId="77777777" w:rsidR="003D2420" w:rsidRPr="00521442" w:rsidRDefault="003D2420" w:rsidP="003D2420">
      <w:pPr>
        <w:pStyle w:val="Heading2"/>
        <w:ind w:left="578" w:hanging="578"/>
        <w:jc w:val="left"/>
        <w:rPr>
          <w:color w:val="000000"/>
        </w:rPr>
      </w:pPr>
      <w:r w:rsidRPr="00521442">
        <w:rPr>
          <w:color w:val="000000"/>
        </w:rPr>
        <w:t>Physical sidelink channels</w:t>
      </w:r>
    </w:p>
    <w:p w14:paraId="1B88EC06" w14:textId="77777777" w:rsidR="003D2420" w:rsidRPr="00521442" w:rsidRDefault="003D2420" w:rsidP="003D2420">
      <w:pPr>
        <w:autoSpaceDE/>
        <w:autoSpaceDN/>
        <w:adjustRightInd/>
        <w:snapToGrid/>
        <w:spacing w:after="0"/>
        <w:rPr>
          <w:lang w:eastAsia="zh-CN"/>
        </w:rPr>
      </w:pPr>
      <w:r w:rsidRPr="00521442">
        <w:rPr>
          <w:rFonts w:hint="eastAsia"/>
          <w:lang w:eastAsia="zh-CN"/>
        </w:rPr>
        <w:t xml:space="preserve">It </w:t>
      </w:r>
      <w:r w:rsidRPr="00521442">
        <w:rPr>
          <w:lang w:eastAsia="zh-CN"/>
        </w:rPr>
        <w:t>was</w:t>
      </w:r>
      <w:r w:rsidRPr="00521442">
        <w:rPr>
          <w:rFonts w:hint="eastAsia"/>
          <w:lang w:eastAsia="zh-CN"/>
        </w:rPr>
        <w:t xml:space="preserve"> agreed</w:t>
      </w:r>
      <w:r w:rsidRPr="00521442">
        <w:rPr>
          <w:lang w:eastAsia="zh-CN"/>
        </w:rPr>
        <w:t xml:space="preserve"> in RAN1#94</w:t>
      </w:r>
      <w:r w:rsidRPr="00521442">
        <w:rPr>
          <w:rFonts w:hint="eastAsia"/>
          <w:lang w:eastAsia="zh-CN"/>
        </w:rPr>
        <w:t xml:space="preserve"> that:</w:t>
      </w:r>
    </w:p>
    <w:p w14:paraId="6ED357AD" w14:textId="77777777" w:rsidR="003D2420" w:rsidRPr="00521442" w:rsidRDefault="003D2420" w:rsidP="003D2420">
      <w:pPr>
        <w:numPr>
          <w:ilvl w:val="0"/>
          <w:numId w:val="12"/>
        </w:numPr>
        <w:autoSpaceDE/>
        <w:autoSpaceDN/>
        <w:adjustRightInd/>
        <w:snapToGrid/>
        <w:spacing w:after="0"/>
        <w:rPr>
          <w:i/>
          <w:szCs w:val="20"/>
        </w:rPr>
      </w:pPr>
      <w:r w:rsidRPr="00521442">
        <w:rPr>
          <w:i/>
          <w:szCs w:val="20"/>
        </w:rPr>
        <w:t xml:space="preserve">At least PSCCH and PSSCH are defined for NR V2X. PSCCH </w:t>
      </w:r>
      <w:r w:rsidRPr="00521442">
        <w:rPr>
          <w:rFonts w:hint="eastAsia"/>
          <w:i/>
          <w:szCs w:val="20"/>
        </w:rPr>
        <w:t>at least carries</w:t>
      </w:r>
      <w:r w:rsidRPr="00521442">
        <w:rPr>
          <w:i/>
          <w:szCs w:val="20"/>
        </w:rPr>
        <w:t xml:space="preserve"> information necessary to </w:t>
      </w:r>
      <w:r w:rsidRPr="00521442">
        <w:rPr>
          <w:rFonts w:hint="eastAsia"/>
          <w:i/>
          <w:szCs w:val="20"/>
        </w:rPr>
        <w:t>decode</w:t>
      </w:r>
      <w:r w:rsidRPr="00521442">
        <w:rPr>
          <w:i/>
          <w:szCs w:val="20"/>
        </w:rPr>
        <w:t xml:space="preserve"> PSSCH.</w:t>
      </w:r>
    </w:p>
    <w:p w14:paraId="3CD77C36" w14:textId="77777777" w:rsidR="003D2420" w:rsidRPr="00521442" w:rsidRDefault="003D2420" w:rsidP="003D2420">
      <w:pPr>
        <w:numPr>
          <w:ilvl w:val="0"/>
          <w:numId w:val="12"/>
        </w:numPr>
        <w:autoSpaceDE/>
        <w:autoSpaceDN/>
        <w:adjustRightInd/>
        <w:snapToGrid/>
        <w:spacing w:after="0"/>
        <w:rPr>
          <w:i/>
          <w:szCs w:val="20"/>
        </w:rPr>
      </w:pPr>
      <w:r w:rsidRPr="00521442">
        <w:rPr>
          <w:rFonts w:hint="eastAsia"/>
          <w:i/>
          <w:szCs w:val="20"/>
        </w:rPr>
        <w:t xml:space="preserve">RAN1 continues study on the necessity of other channels. </w:t>
      </w:r>
    </w:p>
    <w:p w14:paraId="31C500E7" w14:textId="77777777" w:rsidR="003D2420" w:rsidRPr="00521442" w:rsidRDefault="003D2420" w:rsidP="003D2420">
      <w:pPr>
        <w:numPr>
          <w:ilvl w:val="0"/>
          <w:numId w:val="12"/>
        </w:numPr>
        <w:autoSpaceDE/>
        <w:autoSpaceDN/>
        <w:adjustRightInd/>
        <w:snapToGrid/>
        <w:spacing w:after="0"/>
        <w:rPr>
          <w:i/>
          <w:szCs w:val="20"/>
        </w:rPr>
      </w:pPr>
      <w:r w:rsidRPr="00521442">
        <w:rPr>
          <w:rFonts w:hint="eastAsia"/>
          <w:i/>
          <w:szCs w:val="20"/>
        </w:rPr>
        <w:t>RAN1 to study the following topics for the SL enhancement for unicast and/or groupcast. Other topics are not precluded.</w:t>
      </w:r>
    </w:p>
    <w:p w14:paraId="6DC07D39" w14:textId="77777777" w:rsidR="003D2420" w:rsidRPr="00521442" w:rsidRDefault="003D2420" w:rsidP="003D2420">
      <w:pPr>
        <w:numPr>
          <w:ilvl w:val="0"/>
          <w:numId w:val="22"/>
        </w:numPr>
        <w:autoSpaceDE/>
        <w:autoSpaceDN/>
        <w:adjustRightInd/>
        <w:snapToGrid/>
        <w:spacing w:after="0"/>
        <w:rPr>
          <w:i/>
          <w:szCs w:val="20"/>
        </w:rPr>
      </w:pPr>
      <w:r w:rsidRPr="00521442">
        <w:rPr>
          <w:rFonts w:hint="eastAsia"/>
          <w:i/>
          <w:szCs w:val="20"/>
        </w:rPr>
        <w:t>HARQ feedback</w:t>
      </w:r>
    </w:p>
    <w:p w14:paraId="0C90F5B6" w14:textId="77777777" w:rsidR="003D2420" w:rsidRPr="00521442" w:rsidRDefault="003D2420" w:rsidP="003D2420">
      <w:pPr>
        <w:pStyle w:val="Heading3"/>
      </w:pPr>
      <w:r w:rsidRPr="00521442">
        <w:t xml:space="preserve">Physical sidelink control channel (PSCCH) </w:t>
      </w:r>
    </w:p>
    <w:p w14:paraId="302F004A" w14:textId="77777777" w:rsidR="003D2420" w:rsidRPr="00521442" w:rsidRDefault="003D2420" w:rsidP="003D2420">
      <w:pPr>
        <w:pStyle w:val="Heading4"/>
      </w:pPr>
      <w:r w:rsidRPr="00521442">
        <w:t>PSCCH reliability</w:t>
      </w:r>
    </w:p>
    <w:p w14:paraId="162AE111" w14:textId="77777777" w:rsidR="003D2420" w:rsidRPr="00521442" w:rsidRDefault="003D2420" w:rsidP="003D2420">
      <w:r w:rsidRPr="00521442">
        <w:rPr>
          <w:rFonts w:eastAsia="MS Mincho"/>
        </w:rPr>
        <w:t xml:space="preserve">Given NR V2X’s reliability requirements, PSCCH design based on repetition of SCI both in time and in frequency domain provides advantages in terms of reliability and/or latency. To improve the reliability for NR PSCCH transmission, more PRBs might be allocated in case of FDM SA and data multiplexing structure. To achieve low latency for </w:t>
      </w:r>
      <w:r w:rsidRPr="00521442">
        <w:t xml:space="preserve">emergency trajectory alignment </w:t>
      </w:r>
      <w:r w:rsidRPr="00521442">
        <w:rPr>
          <w:rFonts w:eastAsia="MS Mincho"/>
        </w:rPr>
        <w:t xml:space="preserve">(e.g. 3 ms as defined by SA1 </w:t>
      </w:r>
      <w:r w:rsidRPr="00521442">
        <w:rPr>
          <w:rFonts w:eastAsia="MS Mincho"/>
        </w:rPr>
        <w:fldChar w:fldCharType="begin"/>
      </w:r>
      <w:r w:rsidRPr="00521442">
        <w:rPr>
          <w:rFonts w:eastAsia="MS Mincho"/>
        </w:rPr>
        <w:instrText xml:space="preserve"> REF _Ref521601378 \n \h  \* MERGEFORMAT </w:instrText>
      </w:r>
      <w:r w:rsidRPr="00521442">
        <w:rPr>
          <w:rFonts w:eastAsia="MS Mincho"/>
        </w:rPr>
      </w:r>
      <w:r w:rsidRPr="00521442">
        <w:rPr>
          <w:rFonts w:eastAsia="MS Mincho"/>
        </w:rPr>
        <w:fldChar w:fldCharType="separate"/>
      </w:r>
      <w:r w:rsidRPr="00521442">
        <w:rPr>
          <w:rFonts w:eastAsia="MS Mincho"/>
        </w:rPr>
        <w:t>[4]</w:t>
      </w:r>
      <w:r w:rsidRPr="00521442">
        <w:rPr>
          <w:rFonts w:eastAsia="MS Mincho"/>
        </w:rPr>
        <w:fldChar w:fldCharType="end"/>
      </w:r>
      <w:r w:rsidRPr="00521442">
        <w:rPr>
          <w:rFonts w:eastAsia="MS Mincho"/>
        </w:rPr>
        <w:t>)</w:t>
      </w:r>
      <w:r w:rsidRPr="00521442">
        <w:t xml:space="preserve">, </w:t>
      </w:r>
      <w:r w:rsidRPr="00521442">
        <w:rPr>
          <w:rFonts w:eastAsia="MS Mincho"/>
        </w:rPr>
        <w:t xml:space="preserve">TDM SA and data multiplexing structure may be beneficial, since the PSSCH can be decoded sooner than when in FDM with PSCCH. In this case, multiple symbols might be allocated for PSCCH transmission. In addition to the simple repetition, </w:t>
      </w:r>
      <w:r w:rsidRPr="00521442">
        <w:t>introducing aggregation levels similar to the NR PDCCH design can be taken into account.</w:t>
      </w:r>
      <w:r w:rsidRPr="00521442" w:rsidDel="002134B3">
        <w:t xml:space="preserve"> </w:t>
      </w:r>
    </w:p>
    <w:p w14:paraId="0608F5E9" w14:textId="77777777" w:rsidR="003D2420" w:rsidRPr="00521442" w:rsidRDefault="003D2420" w:rsidP="003D2420">
      <w:pPr>
        <w:rPr>
          <w:rFonts w:eastAsia="MS Mincho"/>
          <w:b/>
          <w:i/>
        </w:rPr>
      </w:pPr>
      <w:r w:rsidRPr="00521442">
        <w:rPr>
          <w:rFonts w:eastAsia="MS Mincho"/>
          <w:b/>
          <w:i/>
        </w:rPr>
        <w:t>Proposal 1: NR PSCCH formats supporting repetition of SCI in time and in frequency domain need to be studied, as well as the procedures of UE monitoring of PSCCH so that reliability and latency requirements are met.</w:t>
      </w:r>
    </w:p>
    <w:p w14:paraId="20CEAFFB" w14:textId="77777777" w:rsidR="003D2420" w:rsidRPr="00521442" w:rsidRDefault="003D2420" w:rsidP="003D2420">
      <w:pPr>
        <w:pStyle w:val="Heading4"/>
      </w:pPr>
      <w:r w:rsidRPr="00521442">
        <w:lastRenderedPageBreak/>
        <w:t>NR SCI formats</w:t>
      </w:r>
    </w:p>
    <w:p w14:paraId="3441FCD6" w14:textId="77777777" w:rsidR="003D2420" w:rsidRPr="00521442" w:rsidRDefault="003D2420" w:rsidP="003D2420">
      <w:pPr>
        <w:rPr>
          <w:rFonts w:eastAsia="MS Mincho"/>
        </w:rPr>
      </w:pPr>
      <w:r w:rsidRPr="00521442">
        <w:rPr>
          <w:rFonts w:eastAsia="MS Mincho"/>
        </w:rPr>
        <w:t xml:space="preserve">In TS 36.212, SCI format 1 is specified for V2X scheduling information. Since only physical layer broadcast is specified in LTE V2X, there are resource allocations for initial transmission and retransmission included in SCI format 1. Here, the retransmission is based on blind retransmission or repetition without triggering feedback. </w:t>
      </w:r>
    </w:p>
    <w:p w14:paraId="628D709C" w14:textId="77777777" w:rsidR="003D2420" w:rsidRPr="00521442" w:rsidRDefault="003D2420" w:rsidP="003D2420">
      <w:pPr>
        <w:rPr>
          <w:rFonts w:eastAsia="MS Mincho"/>
        </w:rPr>
      </w:pPr>
      <w:r w:rsidRPr="00521442">
        <w:rPr>
          <w:rFonts w:eastAsia="MS Mincho"/>
        </w:rPr>
        <w:t xml:space="preserve">To support unicast, groupcast, and broadcast transmissions and their possible simultaneous usage in NR V2X, feedback-based retransmission should be considered. Feedback timing resource needs to be known to the receivers. Synchronous feedback can be applied so that the feedback timing is pre-defined based on frame structure configuration. Another option is asynchronous feedback where the timing is indicated in SCI. Asynchronous feedback is more flexible to accommodate different service requirements on transmission latency. If multiple HARQ processes are needed, HARQ process number and new data indicator also need to be included in the SCI.  </w:t>
      </w:r>
    </w:p>
    <w:p w14:paraId="67260CD3" w14:textId="77777777" w:rsidR="003D2420" w:rsidRPr="00521442" w:rsidRDefault="003D2420" w:rsidP="003D2420">
      <w:pPr>
        <w:rPr>
          <w:rFonts w:eastAsia="MS Mincho"/>
          <w:sz w:val="18"/>
        </w:rPr>
      </w:pPr>
      <w:r w:rsidRPr="00521442">
        <w:rPr>
          <w:rFonts w:eastAsia="MS Mincho"/>
        </w:rPr>
        <w:t>Other considerations include efforts to reduce the blind decoding complexity for NR UEs, e.g. support of different SCI formats could be studied to manage the SCI decoding complexity for intra-UE service multiplexing. Other i</w:t>
      </w:r>
      <w:r w:rsidRPr="00521442">
        <w:t xml:space="preserve">mprovements on the SCI format that should also be studied include the support of pre-indication or pre-emption for both inter-UE and intra-UE services multiplexing, on demand CSI reporting for link adaptation. </w:t>
      </w:r>
    </w:p>
    <w:p w14:paraId="39C6FA08" w14:textId="77777777" w:rsidR="003D2420" w:rsidRPr="00521442" w:rsidRDefault="003D2420" w:rsidP="003D2420">
      <w:pPr>
        <w:rPr>
          <w:rFonts w:eastAsia="MS Mincho"/>
          <w:i/>
        </w:rPr>
      </w:pPr>
      <w:r w:rsidRPr="00521442">
        <w:rPr>
          <w:b/>
          <w:i/>
          <w:lang w:eastAsia="zh-CN"/>
        </w:rPr>
        <w:t>Proposal 2: NR V2X SCI formats need to support the coexistence of unicast/groupcast/broadcast, in addition to the support of HARQ ACK/NACK feedback and CSI reporting.</w:t>
      </w:r>
      <w:r w:rsidRPr="00521442">
        <w:rPr>
          <w:rFonts w:eastAsia="MS Mincho"/>
          <w:i/>
        </w:rPr>
        <w:t xml:space="preserve"> </w:t>
      </w:r>
    </w:p>
    <w:p w14:paraId="2172D6A8" w14:textId="77777777" w:rsidR="003D2420" w:rsidRPr="00521442" w:rsidRDefault="003D2420" w:rsidP="003D2420">
      <w:pPr>
        <w:pStyle w:val="Heading3"/>
      </w:pPr>
      <w:r w:rsidRPr="00521442">
        <w:t xml:space="preserve">Physical sidelink feedback channel (PSFCH) </w:t>
      </w:r>
    </w:p>
    <w:p w14:paraId="4DA1A506" w14:textId="41466702" w:rsidR="003D2420" w:rsidRPr="00521442" w:rsidRDefault="003D2420" w:rsidP="003D2420">
      <w:pPr>
        <w:rPr>
          <w:rFonts w:eastAsia="MS Mincho"/>
        </w:rPr>
      </w:pPr>
      <w:r w:rsidRPr="00521442">
        <w:rPr>
          <w:rFonts w:eastAsia="MS Mincho"/>
        </w:rPr>
        <w:t xml:space="preserve">In LTE-V2X, PSCCH and PSSCH are defined only for carrying sidelink scheduling assignment and data respectively, where one SA is associated with one data, and there is no feedback on any sidelink channels. For NR sidelink HARQ-ACK mechanism, receiving UE(s) may not have data to send back to the transmitting UE after data reception, and therefore there may be no PSSCH resources available for feedback piggybacking. If there is a reverse PSSCH transmission, there is no way to be sure that it would arrive in a timeframe which could meet the latency constraints in many of the V2X use cases, due to the generally unpredictable nature of application (and upper-layer) traffic. </w:t>
      </w:r>
    </w:p>
    <w:p w14:paraId="4D44C7A6" w14:textId="44EA9443" w:rsidR="003D2420" w:rsidRPr="00521442" w:rsidRDefault="003D2420" w:rsidP="003D2420">
      <w:pPr>
        <w:rPr>
          <w:rFonts w:eastAsia="MS Mincho"/>
        </w:rPr>
      </w:pPr>
      <w:r w:rsidRPr="00521442">
        <w:rPr>
          <w:rFonts w:eastAsia="MS Mincho"/>
        </w:rPr>
        <w:t xml:space="preserve">Thus, we define a dedicated channel to carry feedback, the design and configurations of which are suitable for transmitting especially A/N as soon as possible. Some additional discussion on PSFCH can be found in </w:t>
      </w:r>
      <w:r w:rsidRPr="00521442">
        <w:rPr>
          <w:rFonts w:eastAsia="MS Mincho"/>
        </w:rPr>
        <w:fldChar w:fldCharType="begin"/>
      </w:r>
      <w:r w:rsidRPr="00521442">
        <w:rPr>
          <w:rFonts w:eastAsia="MS Mincho"/>
        </w:rPr>
        <w:instrText xml:space="preserve"> REF _Ref524445103 \n \h </w:instrText>
      </w:r>
      <w:r w:rsidRPr="00521442">
        <w:rPr>
          <w:rFonts w:eastAsia="MS Mincho"/>
        </w:rPr>
      </w:r>
      <w:r w:rsidRPr="00521442">
        <w:rPr>
          <w:rFonts w:eastAsia="MS Mincho"/>
        </w:rPr>
        <w:fldChar w:fldCharType="separate"/>
      </w:r>
      <w:r w:rsidRPr="00521442">
        <w:rPr>
          <w:rFonts w:eastAsia="MS Mincho"/>
        </w:rPr>
        <w:t>[7]</w:t>
      </w:r>
      <w:r w:rsidRPr="00521442">
        <w:rPr>
          <w:rFonts w:eastAsia="MS Mincho"/>
        </w:rPr>
        <w:fldChar w:fldCharType="end"/>
      </w:r>
      <w:r w:rsidRPr="00521442">
        <w:rPr>
          <w:rFonts w:eastAsia="MS Mincho"/>
        </w:rPr>
        <w:t>. In addition, the resources for PSFCH have to be separate from PSSCH/PSCCH in order to reduce the half duplex problem, because loss of A/N has serious consequences for system and link efficiency.</w:t>
      </w:r>
      <w:r w:rsidRPr="00521442">
        <w:rPr>
          <w:rFonts w:eastAsia="MS Mincho" w:hint="eastAsia"/>
        </w:rPr>
        <w:t xml:space="preserve"> </w:t>
      </w:r>
      <w:r w:rsidRPr="00521442">
        <w:rPr>
          <w:rFonts w:eastAsia="MS Mincho"/>
        </w:rPr>
        <w:t xml:space="preserve">Note that the PSFCH can also be used for other valuable purposes, such as sending CSI information including vehicular-relevant information such as Doppler and delay spread, to improve link performance. </w:t>
      </w:r>
    </w:p>
    <w:p w14:paraId="62ABF76E" w14:textId="77777777" w:rsidR="003D2420" w:rsidRPr="00521442" w:rsidRDefault="003D2420" w:rsidP="003D2420">
      <w:pPr>
        <w:snapToGrid/>
        <w:jc w:val="left"/>
        <w:rPr>
          <w:b/>
          <w:i/>
        </w:rPr>
      </w:pPr>
      <w:r w:rsidRPr="00521442">
        <w:rPr>
          <w:b/>
          <w:i/>
        </w:rPr>
        <w:t>Proposal 3: Define a physical sidelink feedback channel (PSFCH) for NR V2X which carries at least SL-ACK/NACK and SL-CSI.</w:t>
      </w:r>
    </w:p>
    <w:p w14:paraId="7A4025C7" w14:textId="77777777" w:rsidR="003D2420" w:rsidRPr="00521442" w:rsidRDefault="003D2420" w:rsidP="003D2420">
      <w:pPr>
        <w:pStyle w:val="Heading3"/>
      </w:pPr>
      <w:r w:rsidRPr="00521442">
        <w:t xml:space="preserve">Physical sidelink discovery channel (PSDCH) </w:t>
      </w:r>
    </w:p>
    <w:p w14:paraId="09F635F0" w14:textId="77777777" w:rsidR="003D2420" w:rsidRPr="00521442" w:rsidRDefault="003D2420" w:rsidP="003D2420">
      <w:pPr>
        <w:snapToGrid/>
      </w:pPr>
      <w:r w:rsidRPr="00521442">
        <w:t>NR V2X will support unicast and groupcast communications for which a discovery process is needed. There are options for discovering other UEs in the vicinity for establishing a sidelink:</w:t>
      </w:r>
    </w:p>
    <w:p w14:paraId="457FE85E" w14:textId="77777777" w:rsidR="003D2420" w:rsidRPr="00521442" w:rsidRDefault="003D2420" w:rsidP="003D2420">
      <w:pPr>
        <w:pStyle w:val="ListParagraph"/>
        <w:numPr>
          <w:ilvl w:val="0"/>
          <w:numId w:val="19"/>
        </w:numPr>
        <w:snapToGrid/>
      </w:pPr>
      <w:r w:rsidRPr="00521442">
        <w:t>Option 1: Discovering other UEs by listening to safety messages they broadcast. This option overloads the role of the safety messages. The main disadvantage of this option is that a UE transmitting safety messages may not be interested to establish a sidelink for unicast/groupcast communications. For example, it is possible in a V2X scenario in a congested area that a large number of UEs broadcast safety messages, but they are not interested to establish a sidelink for unicast/broadcast. Then, a UE that receives the safety message needs to send a large number of connection requests to find out which of the UEs in its vicinity are interested to establish a sidelink, which will result in an excessive traffic of connection requests unnecessarily. The alternative would be to piggyback such information on safety messages, which would limit/complicate the design of the important safety messages and the discovery process also.</w:t>
      </w:r>
    </w:p>
    <w:p w14:paraId="5702301E" w14:textId="7F5BDB30" w:rsidR="003D2420" w:rsidRPr="00521442" w:rsidRDefault="003D2420" w:rsidP="003D2420">
      <w:pPr>
        <w:pStyle w:val="ListParagraph"/>
        <w:numPr>
          <w:ilvl w:val="0"/>
          <w:numId w:val="19"/>
        </w:numPr>
        <w:snapToGrid/>
      </w:pPr>
      <w:r w:rsidRPr="00521442">
        <w:lastRenderedPageBreak/>
        <w:t xml:space="preserve">Option 2: Discovering other UEs by listening to messages broadcast on a channel dedicated to discovery signals. This option avoids the above disadvantages and allows flexible designs for discovery. The content of the discovery messages (such as IDs, information on sidelink connection, information on the signaling that follows, etc.) and the signaling/handshaking to establish a sidelink for unicast/broadcast </w:t>
      </w:r>
      <w:r w:rsidR="00755E08">
        <w:t>needs further study</w:t>
      </w:r>
      <w:r w:rsidRPr="00521442">
        <w:t>.</w:t>
      </w:r>
    </w:p>
    <w:p w14:paraId="09FCE42A" w14:textId="77777777" w:rsidR="003D2420" w:rsidRPr="00521442" w:rsidRDefault="003D2420" w:rsidP="003D2420">
      <w:pPr>
        <w:snapToGrid/>
        <w:jc w:val="left"/>
      </w:pPr>
      <w:r w:rsidRPr="00521442">
        <w:t>Therefore, we make the following proposal:</w:t>
      </w:r>
    </w:p>
    <w:p w14:paraId="45C9DD00" w14:textId="77777777" w:rsidR="003D2420" w:rsidRPr="00521442" w:rsidRDefault="003D2420" w:rsidP="003D2420">
      <w:pPr>
        <w:snapToGrid/>
        <w:jc w:val="left"/>
        <w:rPr>
          <w:b/>
          <w:i/>
        </w:rPr>
      </w:pPr>
      <w:r w:rsidRPr="00521442">
        <w:rPr>
          <w:b/>
          <w:i/>
        </w:rPr>
        <w:t>Proposal 4: Define a physical sidelink discovery channel (PSDCH) for NR V2X.</w:t>
      </w:r>
    </w:p>
    <w:p w14:paraId="6C301640" w14:textId="77777777" w:rsidR="003D2420" w:rsidRPr="00521442" w:rsidRDefault="003D2420" w:rsidP="003D2420">
      <w:pPr>
        <w:pStyle w:val="Heading2"/>
        <w:ind w:left="578" w:hanging="578"/>
        <w:jc w:val="left"/>
        <w:rPr>
          <w:color w:val="000000"/>
        </w:rPr>
      </w:pPr>
      <w:r w:rsidRPr="00521442">
        <w:rPr>
          <w:color w:val="000000"/>
        </w:rPr>
        <w:t>Waveform</w:t>
      </w:r>
    </w:p>
    <w:p w14:paraId="0BD27982" w14:textId="77777777" w:rsidR="003D2420" w:rsidRPr="00521442" w:rsidRDefault="003D2420" w:rsidP="003D2420">
      <w:pPr>
        <w:autoSpaceDE/>
        <w:autoSpaceDN/>
        <w:adjustRightInd/>
        <w:snapToGrid/>
        <w:spacing w:after="0"/>
        <w:jc w:val="left"/>
        <w:rPr>
          <w:lang w:eastAsia="zh-CN"/>
        </w:rPr>
      </w:pPr>
      <w:r w:rsidRPr="00521442">
        <w:rPr>
          <w:rFonts w:hint="eastAsia"/>
          <w:lang w:eastAsia="zh-CN"/>
        </w:rPr>
        <w:t xml:space="preserve">It </w:t>
      </w:r>
      <w:r w:rsidRPr="00521442">
        <w:rPr>
          <w:lang w:eastAsia="zh-CN"/>
        </w:rPr>
        <w:t>was</w:t>
      </w:r>
      <w:r w:rsidRPr="00521442">
        <w:rPr>
          <w:rFonts w:hint="eastAsia"/>
          <w:lang w:eastAsia="zh-CN"/>
        </w:rPr>
        <w:t xml:space="preserve"> agreed</w:t>
      </w:r>
      <w:r w:rsidRPr="00521442">
        <w:rPr>
          <w:lang w:eastAsia="zh-CN"/>
        </w:rPr>
        <w:t xml:space="preserve"> in RAN1#94</w:t>
      </w:r>
      <w:r w:rsidRPr="00521442">
        <w:rPr>
          <w:rFonts w:hint="eastAsia"/>
          <w:lang w:eastAsia="zh-CN"/>
        </w:rPr>
        <w:t xml:space="preserve"> that </w:t>
      </w:r>
      <w:r w:rsidRPr="00521442">
        <w:rPr>
          <w:lang w:eastAsia="zh-CN"/>
        </w:rPr>
        <w:t>RAN1 continues to study on the physical channel considering following aspects</w:t>
      </w:r>
      <w:r w:rsidRPr="00521442">
        <w:rPr>
          <w:rFonts w:eastAsia="Malgun Gothic"/>
          <w:i/>
          <w:lang w:eastAsia="ko-KR"/>
        </w:rPr>
        <w:t>:</w:t>
      </w:r>
    </w:p>
    <w:p w14:paraId="248C2534" w14:textId="77777777" w:rsidR="003D2420" w:rsidRPr="00521442" w:rsidRDefault="003D2420" w:rsidP="003D2420">
      <w:pPr>
        <w:pStyle w:val="ListParagraph"/>
        <w:widowControl w:val="0"/>
        <w:numPr>
          <w:ilvl w:val="0"/>
          <w:numId w:val="3"/>
        </w:numPr>
        <w:overflowPunct w:val="0"/>
        <w:snapToGrid/>
        <w:spacing w:before="80" w:after="80"/>
        <w:jc w:val="left"/>
        <w:textAlignment w:val="baseline"/>
        <w:rPr>
          <w:rFonts w:eastAsia="MS Mincho"/>
          <w:i/>
        </w:rPr>
      </w:pPr>
      <w:r w:rsidRPr="00521442">
        <w:rPr>
          <w:rFonts w:eastAsia="MS Mincho"/>
          <w:i/>
        </w:rPr>
        <w:t>Waveform</w:t>
      </w:r>
    </w:p>
    <w:p w14:paraId="2F7BFF7A" w14:textId="77777777" w:rsidR="003D2420" w:rsidRPr="00521442" w:rsidRDefault="003D2420" w:rsidP="003D2420">
      <w:pPr>
        <w:pStyle w:val="ListParagraph"/>
        <w:widowControl w:val="0"/>
        <w:numPr>
          <w:ilvl w:val="1"/>
          <w:numId w:val="3"/>
        </w:numPr>
        <w:overflowPunct w:val="0"/>
        <w:snapToGrid/>
        <w:spacing w:before="80" w:after="80"/>
        <w:jc w:val="left"/>
        <w:textAlignment w:val="baseline"/>
        <w:rPr>
          <w:rFonts w:eastAsia="MS Mincho"/>
          <w:i/>
        </w:rPr>
      </w:pPr>
      <w:r w:rsidRPr="00521442">
        <w:rPr>
          <w:rFonts w:eastAsia="Malgun Gothic"/>
          <w:i/>
          <w:lang w:eastAsia="ko-KR"/>
        </w:rPr>
        <w:t>Candidates: CP-OFDM, DFT-s-OFDM</w:t>
      </w:r>
    </w:p>
    <w:p w14:paraId="4304BF04" w14:textId="77777777" w:rsidR="003D2420" w:rsidRPr="00521442" w:rsidRDefault="003D2420" w:rsidP="003D2420">
      <w:pPr>
        <w:pStyle w:val="ListParagraph"/>
        <w:widowControl w:val="0"/>
        <w:numPr>
          <w:ilvl w:val="1"/>
          <w:numId w:val="3"/>
        </w:numPr>
        <w:overflowPunct w:val="0"/>
        <w:snapToGrid/>
        <w:spacing w:before="80" w:after="80"/>
        <w:jc w:val="left"/>
        <w:textAlignment w:val="baseline"/>
        <w:rPr>
          <w:rFonts w:eastAsia="MS Mincho"/>
          <w:i/>
        </w:rPr>
      </w:pPr>
      <w:r w:rsidRPr="00521442">
        <w:rPr>
          <w:rFonts w:eastAsia="Malgun Gothic"/>
          <w:i/>
          <w:lang w:eastAsia="ko-KR"/>
        </w:rPr>
        <w:t>Proposals from companies:</w:t>
      </w:r>
    </w:p>
    <w:p w14:paraId="2820D22C" w14:textId="77777777" w:rsidR="003D2420" w:rsidRPr="00521442" w:rsidRDefault="003D2420" w:rsidP="003D2420">
      <w:pPr>
        <w:pStyle w:val="ListParagraph"/>
        <w:widowControl w:val="0"/>
        <w:numPr>
          <w:ilvl w:val="2"/>
          <w:numId w:val="3"/>
        </w:numPr>
        <w:overflowPunct w:val="0"/>
        <w:snapToGrid/>
        <w:spacing w:before="80" w:after="80"/>
        <w:jc w:val="left"/>
        <w:textAlignment w:val="baseline"/>
        <w:rPr>
          <w:rFonts w:eastAsia="MS Mincho"/>
          <w:i/>
        </w:rPr>
      </w:pPr>
      <w:r w:rsidRPr="00521442">
        <w:rPr>
          <w:rFonts w:eastAsia="Malgun Gothic"/>
          <w:i/>
          <w:lang w:eastAsia="ko-KR"/>
        </w:rPr>
        <w:t>CP-OFDM only</w:t>
      </w:r>
    </w:p>
    <w:p w14:paraId="0E2BB409" w14:textId="77777777" w:rsidR="003D2420" w:rsidRPr="00521442" w:rsidRDefault="003D2420" w:rsidP="003D2420">
      <w:pPr>
        <w:pStyle w:val="ListParagraph"/>
        <w:widowControl w:val="0"/>
        <w:numPr>
          <w:ilvl w:val="2"/>
          <w:numId w:val="3"/>
        </w:numPr>
        <w:overflowPunct w:val="0"/>
        <w:snapToGrid/>
        <w:spacing w:before="80" w:after="80"/>
        <w:jc w:val="left"/>
        <w:textAlignment w:val="baseline"/>
        <w:rPr>
          <w:rFonts w:eastAsia="MS Mincho"/>
          <w:i/>
        </w:rPr>
      </w:pPr>
      <w:r w:rsidRPr="00521442">
        <w:rPr>
          <w:rFonts w:eastAsia="Malgun Gothic"/>
          <w:i/>
          <w:lang w:eastAsia="ko-KR"/>
        </w:rPr>
        <w:t>Support both</w:t>
      </w:r>
    </w:p>
    <w:p w14:paraId="3DA66CC6" w14:textId="77777777" w:rsidR="003D2420" w:rsidRPr="00521442" w:rsidRDefault="003D2420" w:rsidP="003D2420">
      <w:pPr>
        <w:pStyle w:val="ListParagraph"/>
        <w:widowControl w:val="0"/>
        <w:numPr>
          <w:ilvl w:val="1"/>
          <w:numId w:val="3"/>
        </w:numPr>
        <w:overflowPunct w:val="0"/>
        <w:snapToGrid/>
        <w:spacing w:before="80" w:after="80"/>
        <w:jc w:val="left"/>
        <w:textAlignment w:val="baseline"/>
        <w:rPr>
          <w:rFonts w:eastAsia="Malgun Gothic"/>
          <w:i/>
          <w:lang w:eastAsia="ko-KR"/>
        </w:rPr>
      </w:pPr>
      <w:r w:rsidRPr="00521442">
        <w:rPr>
          <w:rFonts w:eastAsia="Malgun Gothic"/>
          <w:i/>
          <w:lang w:eastAsia="ko-KR"/>
        </w:rPr>
        <w:t>Consideration points:</w:t>
      </w:r>
    </w:p>
    <w:p w14:paraId="34A7C7EA" w14:textId="77777777" w:rsidR="003D2420" w:rsidRPr="00521442" w:rsidRDefault="003D2420" w:rsidP="003D2420">
      <w:pPr>
        <w:pStyle w:val="ListParagraph"/>
        <w:widowControl w:val="0"/>
        <w:numPr>
          <w:ilvl w:val="2"/>
          <w:numId w:val="3"/>
        </w:numPr>
        <w:overflowPunct w:val="0"/>
        <w:snapToGrid/>
        <w:spacing w:before="80" w:after="80"/>
        <w:jc w:val="left"/>
        <w:textAlignment w:val="baseline"/>
        <w:rPr>
          <w:rFonts w:eastAsia="Malgun Gothic"/>
          <w:i/>
          <w:lang w:eastAsia="ko-KR"/>
        </w:rPr>
      </w:pPr>
      <w:r w:rsidRPr="00521442">
        <w:rPr>
          <w:rFonts w:eastAsia="Malgun Gothic"/>
          <w:i/>
          <w:lang w:eastAsia="ko-KR"/>
        </w:rPr>
        <w:t>Different channel can have different waveform?</w:t>
      </w:r>
    </w:p>
    <w:p w14:paraId="23AD29A3" w14:textId="77777777" w:rsidR="003D2420" w:rsidRPr="00521442" w:rsidRDefault="003D2420" w:rsidP="003D2420">
      <w:pPr>
        <w:pStyle w:val="ListParagraph"/>
        <w:widowControl w:val="0"/>
        <w:numPr>
          <w:ilvl w:val="2"/>
          <w:numId w:val="3"/>
        </w:numPr>
        <w:overflowPunct w:val="0"/>
        <w:snapToGrid/>
        <w:spacing w:before="80" w:after="80"/>
        <w:jc w:val="left"/>
        <w:textAlignment w:val="baseline"/>
        <w:rPr>
          <w:rFonts w:eastAsia="Malgun Gothic"/>
          <w:i/>
          <w:lang w:eastAsia="ko-KR"/>
        </w:rPr>
      </w:pPr>
      <w:r w:rsidRPr="00521442">
        <w:rPr>
          <w:rFonts w:eastAsia="Malgun Gothic"/>
          <w:i/>
          <w:lang w:eastAsia="ko-KR"/>
        </w:rPr>
        <w:t>Benefit and impact of supporting only one waveform and supporting both waveforms</w:t>
      </w:r>
    </w:p>
    <w:p w14:paraId="45230C96" w14:textId="7646B4B0" w:rsidR="003D2420" w:rsidRPr="00521442" w:rsidRDefault="003D2420" w:rsidP="003D2420">
      <w:pPr>
        <w:snapToGrid/>
        <w:rPr>
          <w:color w:val="000000"/>
        </w:rPr>
      </w:pPr>
      <w:r w:rsidRPr="00521442">
        <w:rPr>
          <w:color w:val="000000"/>
        </w:rPr>
        <w:t xml:space="preserve">In NR Rel-15 although both OFDM and DFT-S-OFDM are supported for UL, the usage of DFT-S-OFDM mainly targets link budget limited scenarios, e.g. cell-edge UEs and UEs with fairly large path loss. As such, NR supports the transmission of only a single-layer with DFT-S-OFDM. Communication in SL is not typically link budget limited compared to UL, since the transmitter and the receiver(s) are typically in proximity of each other. On the other hand, CP-OFDM supports </w:t>
      </w:r>
      <w:r w:rsidRPr="00521442">
        <w:rPr>
          <w:lang w:eastAsia="zh-CN"/>
        </w:rPr>
        <w:t>multiple layer transmission for both control and data.</w:t>
      </w:r>
      <w:r w:rsidRPr="00521442">
        <w:rPr>
          <w:color w:val="000000"/>
        </w:rPr>
        <w:t xml:space="preserve"> </w:t>
      </w:r>
    </w:p>
    <w:p w14:paraId="6CA69D12" w14:textId="15B16378" w:rsidR="003D2420" w:rsidRPr="00521442" w:rsidRDefault="003D2420" w:rsidP="003D2420">
      <w:pPr>
        <w:snapToGrid/>
        <w:rPr>
          <w:color w:val="000000"/>
        </w:rPr>
      </w:pPr>
      <w:r w:rsidRPr="00521442">
        <w:rPr>
          <w:color w:val="000000"/>
        </w:rPr>
        <w:t>DFT-S-OFDM has lower PAPR than CP-OFDM, especially for low modulation orders.</w:t>
      </w:r>
      <w:r w:rsidR="001948E1">
        <w:rPr>
          <w:color w:val="000000"/>
        </w:rPr>
        <w:t xml:space="preserve"> This could be useful in some implementations to save power, but is not a significant concern for a vehicle mounted UE connected to a 12V/48V battery. </w:t>
      </w:r>
      <w:r w:rsidRPr="00521442">
        <w:rPr>
          <w:color w:val="000000"/>
        </w:rPr>
        <w:t xml:space="preserve">In addition, DFT-S-OFDM has significant impact on link performance. </w:t>
      </w:r>
      <w:r w:rsidRPr="00521442">
        <w:rPr>
          <w:color w:val="000000"/>
        </w:rPr>
        <w:fldChar w:fldCharType="begin"/>
      </w:r>
      <w:r w:rsidRPr="00521442">
        <w:rPr>
          <w:color w:val="000000"/>
        </w:rPr>
        <w:instrText xml:space="preserve"> REF _Ref525116902 \h  \* MERGEFORMAT </w:instrText>
      </w:r>
      <w:r w:rsidRPr="00521442">
        <w:rPr>
          <w:color w:val="000000"/>
        </w:rPr>
      </w:r>
      <w:r w:rsidRPr="00521442">
        <w:rPr>
          <w:color w:val="000000"/>
        </w:rPr>
        <w:fldChar w:fldCharType="separate"/>
      </w:r>
      <w:r w:rsidRPr="00521442">
        <w:t>Figure 1</w:t>
      </w:r>
      <w:r w:rsidRPr="00521442">
        <w:rPr>
          <w:color w:val="000000"/>
        </w:rPr>
        <w:fldChar w:fldCharType="end"/>
      </w:r>
      <w:r w:rsidRPr="00521442">
        <w:rPr>
          <w:color w:val="000000"/>
        </w:rPr>
        <w:t xml:space="preserve"> shows a comparison of the performance of DFT-s-OFDM vs CP-OFDM for 16-QAM with a coding rate of 0.5 and 64-QAM with a coding rate of 0.6 according to the link level assumptions of TR 37.885 (assume a FDM SA and data structure with 2 RBs and 6 RBs allocated to SA and data, resp.). As can be seen, there is a maximum degradation of ~1 dB for 16-QAM, and ~2 dB for 64-QAM. Given that increasing range is not really an issue for V2X, it is not necessary to incur such a link penalty. Therefore, CP-OFDM is sufficient to be supported as the only waveform for all NR sidelink channels.</w:t>
      </w:r>
    </w:p>
    <w:p w14:paraId="4EE4BFC9" w14:textId="77777777" w:rsidR="003D2420" w:rsidRPr="00521442" w:rsidRDefault="003D2420" w:rsidP="003D2420">
      <w:pPr>
        <w:snapToGrid/>
        <w:jc w:val="center"/>
        <w:rPr>
          <w:color w:val="000000"/>
        </w:rPr>
      </w:pPr>
      <w:r w:rsidRPr="00521442">
        <w:rPr>
          <w:noProof/>
          <w:color w:val="000000"/>
        </w:rPr>
        <w:drawing>
          <wp:inline distT="0" distB="0" distL="0" distR="0" wp14:anchorId="06544039" wp14:editId="6930890C">
            <wp:extent cx="2941332" cy="2244203"/>
            <wp:effectExtent l="0" t="0" r="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16QAM Wavefor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8912" cy="2249986"/>
                    </a:xfrm>
                    <a:prstGeom prst="rect">
                      <a:avLst/>
                    </a:prstGeom>
                  </pic:spPr>
                </pic:pic>
              </a:graphicData>
            </a:graphic>
          </wp:inline>
        </w:drawing>
      </w:r>
      <w:r w:rsidRPr="00521442">
        <w:rPr>
          <w:noProof/>
          <w:color w:val="000000"/>
        </w:rPr>
        <w:drawing>
          <wp:inline distT="0" distB="0" distL="0" distR="0" wp14:anchorId="06066FFF" wp14:editId="40034CEC">
            <wp:extent cx="2925755" cy="224802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64QAM Wavefor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43296" cy="2261498"/>
                    </a:xfrm>
                    <a:prstGeom prst="rect">
                      <a:avLst/>
                    </a:prstGeom>
                  </pic:spPr>
                </pic:pic>
              </a:graphicData>
            </a:graphic>
          </wp:inline>
        </w:drawing>
      </w:r>
    </w:p>
    <w:p w14:paraId="389E72CA" w14:textId="77777777" w:rsidR="003D2420" w:rsidRPr="00521442" w:rsidRDefault="003D2420" w:rsidP="003D2420">
      <w:pPr>
        <w:pStyle w:val="Caption"/>
        <w:rPr>
          <w:color w:val="000000"/>
        </w:rPr>
      </w:pPr>
      <w:bookmarkStart w:id="3" w:name="_Ref525116902"/>
      <w:r w:rsidRPr="00521442">
        <w:t xml:space="preserve">Figure </w:t>
      </w:r>
      <w:fldSimple w:instr=" SEQ Figure \* ARABIC ">
        <w:r w:rsidRPr="00521442">
          <w:t>1</w:t>
        </w:r>
      </w:fldSimple>
      <w:bookmarkEnd w:id="3"/>
      <w:r w:rsidRPr="00521442">
        <w:t xml:space="preserve">. </w:t>
      </w:r>
      <w:r w:rsidRPr="00521442">
        <w:rPr>
          <w:color w:val="000000"/>
        </w:rPr>
        <w:t>DFT-s-OFDM vs CP-OFDM link level performance.</w:t>
      </w:r>
    </w:p>
    <w:p w14:paraId="31A67105" w14:textId="77777777" w:rsidR="003D2420" w:rsidRPr="00521442" w:rsidRDefault="003D2420" w:rsidP="003D2420">
      <w:pPr>
        <w:snapToGrid/>
        <w:jc w:val="left"/>
        <w:rPr>
          <w:b/>
          <w:i/>
        </w:rPr>
      </w:pPr>
      <w:r w:rsidRPr="00521442">
        <w:rPr>
          <w:b/>
          <w:i/>
        </w:rPr>
        <w:t>Proposal 5: NR V2X supports CP-OFDM only.</w:t>
      </w:r>
    </w:p>
    <w:p w14:paraId="4C3C9ECE" w14:textId="77777777" w:rsidR="004E7751" w:rsidRPr="00521442" w:rsidRDefault="004E7751" w:rsidP="000F76B5">
      <w:pPr>
        <w:pStyle w:val="Heading2"/>
        <w:ind w:left="578" w:hanging="578"/>
        <w:jc w:val="left"/>
        <w:rPr>
          <w:color w:val="000000"/>
        </w:rPr>
      </w:pPr>
      <w:r w:rsidRPr="00521442">
        <w:rPr>
          <w:color w:val="000000"/>
        </w:rPr>
        <w:lastRenderedPageBreak/>
        <w:t>Numerology</w:t>
      </w:r>
    </w:p>
    <w:p w14:paraId="4CA51CF3" w14:textId="77777777" w:rsidR="004E7751" w:rsidRPr="00521442" w:rsidRDefault="004E7751" w:rsidP="000F76B5">
      <w:pPr>
        <w:autoSpaceDE/>
        <w:autoSpaceDN/>
        <w:adjustRightInd/>
        <w:snapToGrid/>
        <w:spacing w:after="0"/>
        <w:jc w:val="left"/>
        <w:rPr>
          <w:lang w:eastAsia="zh-CN"/>
        </w:rPr>
      </w:pPr>
      <w:r w:rsidRPr="00521442">
        <w:rPr>
          <w:rFonts w:hint="eastAsia"/>
          <w:lang w:eastAsia="zh-CN"/>
        </w:rPr>
        <w:t xml:space="preserve">It </w:t>
      </w:r>
      <w:r w:rsidRPr="00521442">
        <w:rPr>
          <w:lang w:eastAsia="zh-CN"/>
        </w:rPr>
        <w:t>was</w:t>
      </w:r>
      <w:r w:rsidRPr="00521442">
        <w:rPr>
          <w:rFonts w:hint="eastAsia"/>
          <w:lang w:eastAsia="zh-CN"/>
        </w:rPr>
        <w:t xml:space="preserve"> agreed</w:t>
      </w:r>
      <w:r w:rsidRPr="00521442">
        <w:rPr>
          <w:lang w:eastAsia="zh-CN"/>
        </w:rPr>
        <w:t xml:space="preserve"> in RAN1#9</w:t>
      </w:r>
      <w:r w:rsidR="00143A04" w:rsidRPr="00521442">
        <w:rPr>
          <w:lang w:eastAsia="zh-CN"/>
        </w:rPr>
        <w:t>4</w:t>
      </w:r>
      <w:r w:rsidRPr="00521442">
        <w:rPr>
          <w:rFonts w:hint="eastAsia"/>
          <w:lang w:eastAsia="zh-CN"/>
        </w:rPr>
        <w:t xml:space="preserve"> that </w:t>
      </w:r>
      <w:r w:rsidRPr="00521442">
        <w:rPr>
          <w:lang w:eastAsia="zh-CN"/>
        </w:rPr>
        <w:t>RAN1 continues study on the physical channel considering following aspects</w:t>
      </w:r>
      <w:r w:rsidRPr="00521442">
        <w:rPr>
          <w:rFonts w:eastAsia="Malgun Gothic"/>
          <w:i/>
          <w:lang w:eastAsia="ko-KR"/>
        </w:rPr>
        <w:t>:</w:t>
      </w:r>
    </w:p>
    <w:p w14:paraId="7554877E" w14:textId="77777777" w:rsidR="004E7751" w:rsidRPr="00521442" w:rsidRDefault="004E7751" w:rsidP="000F76B5">
      <w:pPr>
        <w:pStyle w:val="ListParagraph"/>
        <w:widowControl w:val="0"/>
        <w:numPr>
          <w:ilvl w:val="0"/>
          <w:numId w:val="3"/>
        </w:numPr>
        <w:overflowPunct w:val="0"/>
        <w:snapToGrid/>
        <w:spacing w:before="80" w:after="80"/>
        <w:jc w:val="left"/>
        <w:textAlignment w:val="baseline"/>
        <w:rPr>
          <w:rFonts w:eastAsia="MS Mincho"/>
          <w:i/>
        </w:rPr>
      </w:pPr>
      <w:r w:rsidRPr="00521442">
        <w:rPr>
          <w:rFonts w:eastAsia="MS Mincho"/>
          <w:i/>
        </w:rPr>
        <w:t>Subcarrier spacing</w:t>
      </w:r>
    </w:p>
    <w:p w14:paraId="46DED838" w14:textId="77777777" w:rsidR="004E7751" w:rsidRPr="00521442" w:rsidRDefault="004E7751" w:rsidP="000F76B5">
      <w:pPr>
        <w:pStyle w:val="ListParagraph"/>
        <w:widowControl w:val="0"/>
        <w:numPr>
          <w:ilvl w:val="1"/>
          <w:numId w:val="3"/>
        </w:numPr>
        <w:overflowPunct w:val="0"/>
        <w:snapToGrid/>
        <w:spacing w:before="80" w:after="80"/>
        <w:jc w:val="left"/>
        <w:textAlignment w:val="baseline"/>
        <w:rPr>
          <w:rFonts w:eastAsia="MS Mincho"/>
          <w:i/>
        </w:rPr>
      </w:pPr>
      <w:r w:rsidRPr="00521442">
        <w:rPr>
          <w:rFonts w:eastAsia="MS Mincho"/>
          <w:i/>
        </w:rPr>
        <w:t xml:space="preserve">Candidates for further study are: </w:t>
      </w:r>
    </w:p>
    <w:p w14:paraId="6E19C876" w14:textId="77777777" w:rsidR="004E7751" w:rsidRPr="00521442" w:rsidRDefault="004E7751" w:rsidP="000F76B5">
      <w:pPr>
        <w:pStyle w:val="ListParagraph"/>
        <w:widowControl w:val="0"/>
        <w:numPr>
          <w:ilvl w:val="2"/>
          <w:numId w:val="3"/>
        </w:numPr>
        <w:overflowPunct w:val="0"/>
        <w:snapToGrid/>
        <w:spacing w:before="80" w:after="80"/>
        <w:jc w:val="left"/>
        <w:textAlignment w:val="baseline"/>
        <w:rPr>
          <w:rFonts w:eastAsia="MS Mincho"/>
          <w:i/>
        </w:rPr>
      </w:pPr>
      <w:r w:rsidRPr="00521442">
        <w:rPr>
          <w:rFonts w:eastAsia="MS Mincho"/>
          <w:i/>
        </w:rPr>
        <w:t xml:space="preserve">FR1: 15 kHz, 30 kHz, 60 kHz, 120 kHz </w:t>
      </w:r>
    </w:p>
    <w:p w14:paraId="6E2C5B30" w14:textId="77777777" w:rsidR="004E7751" w:rsidRPr="00521442" w:rsidRDefault="004E7751" w:rsidP="000F76B5">
      <w:pPr>
        <w:pStyle w:val="ListParagraph"/>
        <w:widowControl w:val="0"/>
        <w:numPr>
          <w:ilvl w:val="2"/>
          <w:numId w:val="3"/>
        </w:numPr>
        <w:overflowPunct w:val="0"/>
        <w:snapToGrid/>
        <w:spacing w:before="80" w:after="80"/>
        <w:jc w:val="left"/>
        <w:textAlignment w:val="baseline"/>
        <w:rPr>
          <w:rFonts w:eastAsia="MS Mincho"/>
          <w:i/>
        </w:rPr>
      </w:pPr>
      <w:r w:rsidRPr="00521442">
        <w:rPr>
          <w:rFonts w:eastAsia="MS Mincho"/>
          <w:i/>
        </w:rPr>
        <w:t>FR2: 30 kHz, 60 kHz, 120 kHz, 240 kHz</w:t>
      </w:r>
    </w:p>
    <w:p w14:paraId="36B33840" w14:textId="21B2DFC5" w:rsidR="004E7751" w:rsidRPr="00521442" w:rsidRDefault="004E7751" w:rsidP="000F76B5">
      <w:pPr>
        <w:pStyle w:val="ListParagraph"/>
        <w:widowControl w:val="0"/>
        <w:numPr>
          <w:ilvl w:val="0"/>
          <w:numId w:val="3"/>
        </w:numPr>
        <w:overflowPunct w:val="0"/>
        <w:snapToGrid/>
        <w:spacing w:before="80" w:after="80"/>
        <w:jc w:val="left"/>
        <w:textAlignment w:val="baseline"/>
        <w:rPr>
          <w:rFonts w:eastAsia="MS Mincho"/>
          <w:i/>
        </w:rPr>
      </w:pPr>
      <w:r w:rsidRPr="00521442">
        <w:rPr>
          <w:rFonts w:eastAsia="MS Mincho"/>
          <w:i/>
        </w:rPr>
        <w:t>CP length</w:t>
      </w:r>
    </w:p>
    <w:p w14:paraId="057D4283" w14:textId="316D4A45" w:rsidR="002754D1" w:rsidRPr="00521442" w:rsidRDefault="002754D1" w:rsidP="00292192">
      <w:pPr>
        <w:pStyle w:val="Heading3"/>
      </w:pPr>
      <w:r w:rsidRPr="00521442">
        <w:t>120 kHz SCS</w:t>
      </w:r>
    </w:p>
    <w:p w14:paraId="151BA4CD" w14:textId="3487281A" w:rsidR="004918DC" w:rsidRPr="00521442" w:rsidRDefault="004918DC" w:rsidP="00876BD7">
      <w:pPr>
        <w:rPr>
          <w:color w:val="000000"/>
        </w:rPr>
      </w:pPr>
      <w:r w:rsidRPr="00521442">
        <w:rPr>
          <w:color w:val="000000"/>
        </w:rPr>
        <w:t>The link-level evaluation perfo</w:t>
      </w:r>
      <w:r w:rsidR="00B0244F" w:rsidRPr="00521442">
        <w:rPr>
          <w:color w:val="000000"/>
        </w:rPr>
        <w:t xml:space="preserve">rmance (simulation assumption can be found in </w:t>
      </w:r>
      <w:r w:rsidR="00B0244F" w:rsidRPr="00521442">
        <w:rPr>
          <w:color w:val="000000"/>
        </w:rPr>
        <w:fldChar w:fldCharType="begin"/>
      </w:r>
      <w:r w:rsidR="00B0244F" w:rsidRPr="00521442">
        <w:rPr>
          <w:color w:val="000000"/>
        </w:rPr>
        <w:instrText xml:space="preserve"> REF _Ref524445165 \w \h </w:instrText>
      </w:r>
      <w:r w:rsidR="00B0244F" w:rsidRPr="00521442">
        <w:rPr>
          <w:color w:val="000000"/>
        </w:rPr>
      </w:r>
      <w:r w:rsidR="00B0244F" w:rsidRPr="00521442">
        <w:rPr>
          <w:color w:val="000000"/>
        </w:rPr>
        <w:fldChar w:fldCharType="separate"/>
      </w:r>
      <w:r w:rsidR="00B0244F" w:rsidRPr="00521442">
        <w:rPr>
          <w:color w:val="000000"/>
        </w:rPr>
        <w:t>[5]</w:t>
      </w:r>
      <w:r w:rsidR="00B0244F" w:rsidRPr="00521442">
        <w:rPr>
          <w:color w:val="000000"/>
        </w:rPr>
        <w:fldChar w:fldCharType="end"/>
      </w:r>
      <w:r w:rsidRPr="00521442">
        <w:rPr>
          <w:color w:val="000000"/>
        </w:rPr>
        <w:t>) shows that 120 kHz SCS has no performance gain over 60 kHz SCS in FR1, as shown in Figure 2. In addition, 120 kHz SCS in FR1 results in extra AGC/gap overhead, since one 120 kHz OFDM symbol length (i.e. 8.92</w:t>
      </w:r>
      <w:r w:rsidR="00AE318A" w:rsidRPr="00521442">
        <w:rPr>
          <w:color w:val="000000"/>
        </w:rPr>
        <w:t xml:space="preserve"> </w:t>
      </w:r>
      <w:r w:rsidRPr="00521442">
        <w:rPr>
          <w:color w:val="000000"/>
        </w:rPr>
        <w:t>μs) is not enough for either AGC processing or TX/RX transition time.</w:t>
      </w:r>
      <w:r w:rsidR="00AF6866" w:rsidRPr="00521442">
        <w:rPr>
          <w:color w:val="000000"/>
        </w:rPr>
        <w:t xml:space="preserve"> Although it is natural for NR sidelink to adopt NR Uu air interface properties, e.g. some UEs may be traveling at low speeds, where a 15 kHz subcarrier spacing works well, whereas other UEs at high speeds would benefit from a larger subcarrier spacing, it seems there is no benefit in adding 120 kHz SCS to the FR1 supported set.</w:t>
      </w:r>
    </w:p>
    <w:p w14:paraId="52F76250" w14:textId="3C5D4C9F" w:rsidR="00D918FA" w:rsidRPr="00521442" w:rsidRDefault="00907D46" w:rsidP="00876BD7">
      <w:r w:rsidRPr="00521442">
        <w:rPr>
          <w:noProof/>
        </w:rPr>
        <w:drawing>
          <wp:inline distT="0" distB="0" distL="0" distR="0" wp14:anchorId="4898606D" wp14:editId="7805BC00">
            <wp:extent cx="2886075" cy="2490464"/>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QPSK.png"/>
                    <pic:cNvPicPr/>
                  </pic:nvPicPr>
                  <pic:blipFill>
                    <a:blip r:embed="rId10">
                      <a:extLst>
                        <a:ext uri="{28A0092B-C50C-407E-A947-70E740481C1C}">
                          <a14:useLocalDpi xmlns:a14="http://schemas.microsoft.com/office/drawing/2010/main" val="0"/>
                        </a:ext>
                      </a:extLst>
                    </a:blip>
                    <a:stretch>
                      <a:fillRect/>
                    </a:stretch>
                  </pic:blipFill>
                  <pic:spPr>
                    <a:xfrm>
                      <a:off x="0" y="0"/>
                      <a:ext cx="2895520" cy="2498614"/>
                    </a:xfrm>
                    <a:prstGeom prst="rect">
                      <a:avLst/>
                    </a:prstGeom>
                  </pic:spPr>
                </pic:pic>
              </a:graphicData>
            </a:graphic>
          </wp:inline>
        </w:drawing>
      </w:r>
      <w:r w:rsidRPr="00521442">
        <w:rPr>
          <w:rFonts w:hint="eastAsia"/>
        </w:rPr>
        <w:t xml:space="preserve"> </w:t>
      </w:r>
      <w:r w:rsidR="00D918FA" w:rsidRPr="00521442">
        <w:rPr>
          <w:noProof/>
        </w:rPr>
        <w:drawing>
          <wp:inline distT="0" distB="0" distL="0" distR="0" wp14:anchorId="3AB2FB24" wp14:editId="0AE5CA31">
            <wp:extent cx="2969260" cy="2527823"/>
            <wp:effectExtent l="0" t="0" r="254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60kSCS.png"/>
                    <pic:cNvPicPr/>
                  </pic:nvPicPr>
                  <pic:blipFill>
                    <a:blip r:embed="rId11">
                      <a:extLst>
                        <a:ext uri="{28A0092B-C50C-407E-A947-70E740481C1C}">
                          <a14:useLocalDpi xmlns:a14="http://schemas.microsoft.com/office/drawing/2010/main" val="0"/>
                        </a:ext>
                      </a:extLst>
                    </a:blip>
                    <a:stretch>
                      <a:fillRect/>
                    </a:stretch>
                  </pic:blipFill>
                  <pic:spPr>
                    <a:xfrm>
                      <a:off x="0" y="0"/>
                      <a:ext cx="2988107" cy="2543868"/>
                    </a:xfrm>
                    <a:prstGeom prst="rect">
                      <a:avLst/>
                    </a:prstGeom>
                  </pic:spPr>
                </pic:pic>
              </a:graphicData>
            </a:graphic>
          </wp:inline>
        </w:drawing>
      </w:r>
    </w:p>
    <w:p w14:paraId="728404BD" w14:textId="1037783B" w:rsidR="00CB7B36" w:rsidRPr="00521442" w:rsidRDefault="00D918FA" w:rsidP="00A24468">
      <w:pPr>
        <w:pStyle w:val="Caption"/>
        <w:jc w:val="left"/>
      </w:pPr>
      <w:bookmarkStart w:id="4" w:name="_Ref525135610"/>
      <w:bookmarkStart w:id="5" w:name="_Ref524939277"/>
      <w:r w:rsidRPr="00521442">
        <w:t xml:space="preserve">Figure </w:t>
      </w:r>
      <w:fldSimple w:instr=" SEQ Figure \* ARABIC ">
        <w:r w:rsidR="006F7DE5" w:rsidRPr="00521442">
          <w:t>2</w:t>
        </w:r>
      </w:fldSimple>
      <w:bookmarkEnd w:id="4"/>
      <w:r w:rsidRPr="00521442">
        <w:t xml:space="preserve">. </w:t>
      </w:r>
      <w:r w:rsidRPr="00521442">
        <w:rPr>
          <w:color w:val="000000"/>
        </w:rPr>
        <w:t>Link-level performance of 120 kHz &amp; 60 kHz SCS with different modulation, code rate, and speed.</w:t>
      </w:r>
      <w:bookmarkEnd w:id="5"/>
    </w:p>
    <w:p w14:paraId="739C3BD8" w14:textId="3B0C36EA" w:rsidR="00EA4EF6" w:rsidRPr="00521442" w:rsidRDefault="00D918FA" w:rsidP="00A24468">
      <w:pPr>
        <w:pStyle w:val="ListParagraph"/>
        <w:widowControl w:val="0"/>
        <w:overflowPunct w:val="0"/>
        <w:spacing w:before="80" w:after="80"/>
        <w:ind w:left="0"/>
        <w:contextualSpacing w:val="0"/>
        <w:jc w:val="left"/>
        <w:textAlignment w:val="baseline"/>
        <w:rPr>
          <w:b/>
          <w:i/>
        </w:rPr>
      </w:pPr>
      <w:r w:rsidRPr="00521442">
        <w:rPr>
          <w:rFonts w:hint="eastAsia"/>
          <w:b/>
          <w:i/>
        </w:rPr>
        <w:t>Observation</w:t>
      </w:r>
      <w:r w:rsidR="00C51E57" w:rsidRPr="00521442">
        <w:rPr>
          <w:b/>
          <w:i/>
        </w:rPr>
        <w:t xml:space="preserve"> 1</w:t>
      </w:r>
      <w:r w:rsidRPr="00521442">
        <w:rPr>
          <w:rFonts w:hint="eastAsia"/>
          <w:b/>
          <w:i/>
        </w:rPr>
        <w:t>:</w:t>
      </w:r>
      <w:r w:rsidRPr="00521442">
        <w:rPr>
          <w:b/>
          <w:i/>
        </w:rPr>
        <w:t xml:space="preserve"> Link-level performance of 120 kHz SCS has no gain over that of 60 kHz SCS in FR1</w:t>
      </w:r>
      <w:r w:rsidR="00EB21D1" w:rsidRPr="00521442">
        <w:rPr>
          <w:b/>
          <w:i/>
        </w:rPr>
        <w:t>, whilst requiring more</w:t>
      </w:r>
      <w:r w:rsidR="003C5785" w:rsidRPr="00521442">
        <w:rPr>
          <w:b/>
          <w:i/>
        </w:rPr>
        <w:t xml:space="preserve"> symbols to be spent on AGC and gap time</w:t>
      </w:r>
      <w:r w:rsidRPr="00521442">
        <w:rPr>
          <w:b/>
          <w:i/>
        </w:rPr>
        <w:t>.</w:t>
      </w:r>
    </w:p>
    <w:p w14:paraId="05BA9AA8" w14:textId="418E08EE" w:rsidR="00A11DBC" w:rsidRPr="00521442" w:rsidRDefault="00A11DBC" w:rsidP="002A2A7C">
      <w:pPr>
        <w:pStyle w:val="Heading3"/>
      </w:pPr>
      <w:r w:rsidRPr="00521442">
        <w:t>60 kHz SCS</w:t>
      </w:r>
    </w:p>
    <w:p w14:paraId="7819063F" w14:textId="09B8619C" w:rsidR="00A11DBC" w:rsidRPr="00521442" w:rsidRDefault="00A11DBC" w:rsidP="00A11DBC">
      <w:pPr>
        <w:pStyle w:val="ListParagraph"/>
        <w:overflowPunct w:val="0"/>
        <w:spacing w:after="180"/>
        <w:ind w:left="0"/>
        <w:contextualSpacing w:val="0"/>
        <w:textAlignment w:val="baseline"/>
        <w:rPr>
          <w:color w:val="000000"/>
        </w:rPr>
      </w:pPr>
      <w:r w:rsidRPr="00521442">
        <w:t>There are</w:t>
      </w:r>
      <w:r w:rsidRPr="00521442">
        <w:rPr>
          <w:color w:val="000000"/>
        </w:rPr>
        <w:t xml:space="preserve"> benefits of 60 kHz SCS for the sidelink of NR V2X:</w:t>
      </w:r>
    </w:p>
    <w:p w14:paraId="7311950C" w14:textId="77777777" w:rsidR="00A11DBC" w:rsidRPr="00521442" w:rsidRDefault="00A11DBC" w:rsidP="00A11DBC">
      <w:pPr>
        <w:pStyle w:val="ListParagraph"/>
        <w:numPr>
          <w:ilvl w:val="0"/>
          <w:numId w:val="3"/>
        </w:numPr>
        <w:overflowPunct w:val="0"/>
        <w:snapToGrid/>
        <w:spacing w:after="180"/>
        <w:textAlignment w:val="baseline"/>
        <w:rPr>
          <w:rFonts w:eastAsia="Malgun Gothic"/>
          <w:b/>
          <w:lang w:eastAsia="ko-KR"/>
        </w:rPr>
      </w:pPr>
      <w:r w:rsidRPr="00521442">
        <w:rPr>
          <w:rFonts w:eastAsia="Malgun Gothic"/>
          <w:b/>
          <w:u w:val="single"/>
          <w:lang w:eastAsia="ko-KR"/>
        </w:rPr>
        <w:t>Latency:</w:t>
      </w:r>
      <w:r w:rsidRPr="00521442">
        <w:rPr>
          <w:rFonts w:eastAsia="Malgun Gothic"/>
          <w:b/>
          <w:lang w:eastAsia="ko-KR"/>
        </w:rPr>
        <w:t xml:space="preserve"> </w:t>
      </w:r>
      <w:r w:rsidRPr="00521442">
        <w:rPr>
          <w:color w:val="000000"/>
        </w:rPr>
        <w:t>60 kHz SCS provides shorter slot time than 15 kHz and 30 kHz in sub-6GHz band, thus ensuring better latency since a packet can have more retransmission opportunities for a given latency budget</w:t>
      </w:r>
    </w:p>
    <w:p w14:paraId="048FD870" w14:textId="17E1DF71" w:rsidR="00A11DBC" w:rsidRPr="00521442" w:rsidRDefault="00A11DBC" w:rsidP="00A11DBC">
      <w:pPr>
        <w:pStyle w:val="ListParagraph"/>
        <w:numPr>
          <w:ilvl w:val="0"/>
          <w:numId w:val="3"/>
        </w:numPr>
        <w:overflowPunct w:val="0"/>
        <w:snapToGrid/>
        <w:spacing w:after="180"/>
        <w:textAlignment w:val="baseline"/>
        <w:rPr>
          <w:rFonts w:eastAsia="Malgun Gothic"/>
          <w:b/>
          <w:lang w:eastAsia="ko-KR"/>
        </w:rPr>
      </w:pPr>
      <w:r w:rsidRPr="00521442">
        <w:rPr>
          <w:rFonts w:eastAsia="Malgun Gothic"/>
          <w:b/>
          <w:u w:val="single"/>
          <w:lang w:eastAsia="ko-KR"/>
        </w:rPr>
        <w:t>ICI impact</w:t>
      </w:r>
      <w:r w:rsidRPr="00521442">
        <w:rPr>
          <w:rFonts w:eastAsia="Malgun Gothic" w:hint="eastAsia"/>
          <w:b/>
          <w:u w:val="single"/>
          <w:lang w:eastAsia="ko-KR"/>
        </w:rPr>
        <w:t xml:space="preserve">: </w:t>
      </w:r>
      <w:r w:rsidRPr="00521442">
        <w:rPr>
          <w:color w:val="000000"/>
        </w:rPr>
        <w:t xml:space="preserve">The demodulation performance was identified as one of the main issues for sidelink communication in LTE V2X. The </w:t>
      </w:r>
      <w:r w:rsidR="00EA0DD4">
        <w:rPr>
          <w:color w:val="000000"/>
        </w:rPr>
        <w:t>high carrier frequency</w:t>
      </w:r>
      <w:r w:rsidRPr="00521442">
        <w:rPr>
          <w:color w:val="000000"/>
        </w:rPr>
        <w:t xml:space="preserve"> and high speed bring high Doppler shift about 2.78 kHz (</w:t>
      </w:r>
      <w:r w:rsidR="006E39EC" w:rsidRPr="00521442">
        <w:rPr>
          <w:color w:val="000000"/>
        </w:rPr>
        <w:t>at</w:t>
      </w:r>
      <w:r w:rsidRPr="00521442">
        <w:rPr>
          <w:color w:val="000000"/>
        </w:rPr>
        <w:t xml:space="preserve"> 500 km/</w:t>
      </w:r>
      <w:r w:rsidR="006E39EC" w:rsidRPr="00521442">
        <w:rPr>
          <w:color w:val="000000"/>
        </w:rPr>
        <w:t>h</w:t>
      </w:r>
      <w:r w:rsidRPr="00521442">
        <w:rPr>
          <w:color w:val="000000"/>
        </w:rPr>
        <w:t>), high Doppler will break the orthogonality between subcarriers. Configuring a large enough subcarrier spacing, e.g. 60 kHz, for a UE can reduce sensitivity to ICI caused by high mobility. The reduced sensitivity to ICI can also help to utilize higher order modulations for NR V2X communication.</w:t>
      </w:r>
    </w:p>
    <w:p w14:paraId="1D6EE388" w14:textId="24EB8A9E" w:rsidR="00A11DBC" w:rsidRPr="00521442" w:rsidRDefault="00A11DBC" w:rsidP="00A11DBC">
      <w:pPr>
        <w:pStyle w:val="ListParagraph"/>
        <w:numPr>
          <w:ilvl w:val="0"/>
          <w:numId w:val="3"/>
        </w:numPr>
        <w:overflowPunct w:val="0"/>
        <w:snapToGrid/>
        <w:spacing w:after="180"/>
        <w:ind w:left="828" w:hanging="357"/>
        <w:textAlignment w:val="baseline"/>
        <w:rPr>
          <w:rFonts w:eastAsia="Malgun Gothic"/>
          <w:b/>
          <w:lang w:eastAsia="ko-KR"/>
        </w:rPr>
      </w:pPr>
      <w:r w:rsidRPr="00521442">
        <w:rPr>
          <w:rFonts w:eastAsia="Malgun Gothic"/>
          <w:b/>
          <w:u w:val="single"/>
          <w:lang w:eastAsia="ko-KR"/>
        </w:rPr>
        <w:t>DMRS overhead</w:t>
      </w:r>
      <w:r w:rsidRPr="00521442">
        <w:rPr>
          <w:rFonts w:eastAsia="Malgun Gothic" w:hint="eastAsia"/>
          <w:b/>
          <w:u w:val="single"/>
          <w:lang w:eastAsia="ko-KR"/>
        </w:rPr>
        <w:t xml:space="preserve">: </w:t>
      </w:r>
      <w:r w:rsidRPr="00521442">
        <w:rPr>
          <w:color w:val="000000"/>
        </w:rPr>
        <w:t>Besides the high Doppler, in order to address the high channel variation, more DMRS symbols should be configured over 0.5</w:t>
      </w:r>
      <w:r w:rsidR="006E39EC" w:rsidRPr="00521442">
        <w:rPr>
          <w:color w:val="000000"/>
        </w:rPr>
        <w:t xml:space="preserve"> </w:t>
      </w:r>
      <w:r w:rsidRPr="00521442">
        <w:rPr>
          <w:color w:val="000000"/>
        </w:rPr>
        <w:t xml:space="preserve">ms for smaller subcarrier spacing. If the subcarrier spacing is 30 kHz, only 8 symbols out of 14 symbols can be useful for data transmission (taking into account overhead – one symbol for AGC, one gap symbol and 4 DMRS symbols per slot). </w:t>
      </w:r>
      <w:r w:rsidRPr="00521442">
        <w:rPr>
          <w:color w:val="000000"/>
        </w:rPr>
        <w:lastRenderedPageBreak/>
        <w:t xml:space="preserve">This overhead can be reduced if </w:t>
      </w:r>
      <w:r w:rsidR="00ED32B4" w:rsidRPr="00521442">
        <w:rPr>
          <w:color w:val="000000"/>
        </w:rPr>
        <w:t>a</w:t>
      </w:r>
      <w:r w:rsidRPr="00521442">
        <w:rPr>
          <w:color w:val="000000"/>
        </w:rPr>
        <w:t>t</w:t>
      </w:r>
      <w:r w:rsidR="008A7FCD">
        <w:rPr>
          <w:color w:val="000000"/>
        </w:rPr>
        <w:t xml:space="preserve"> t</w:t>
      </w:r>
      <w:r w:rsidRPr="00521442">
        <w:rPr>
          <w:color w:val="000000"/>
        </w:rPr>
        <w:t xml:space="preserve">he larger subcarrier spacing is used, e.g. </w:t>
      </w:r>
      <w:r w:rsidR="00ED32B4" w:rsidRPr="00521442">
        <w:rPr>
          <w:color w:val="000000"/>
        </w:rPr>
        <w:t xml:space="preserve">for </w:t>
      </w:r>
      <w:r w:rsidRPr="00521442">
        <w:rPr>
          <w:color w:val="000000"/>
        </w:rPr>
        <w:t>60 kHz, only 2 DMRS symbols need to be configured per slot.</w:t>
      </w:r>
    </w:p>
    <w:p w14:paraId="421B9DA4" w14:textId="1AAF1D38" w:rsidR="00A11DBC" w:rsidRPr="00521442" w:rsidRDefault="00A11DBC" w:rsidP="00A11DBC">
      <w:pPr>
        <w:pStyle w:val="ListParagraph"/>
        <w:numPr>
          <w:ilvl w:val="0"/>
          <w:numId w:val="3"/>
        </w:numPr>
        <w:overflowPunct w:val="0"/>
        <w:snapToGrid/>
        <w:spacing w:after="180"/>
        <w:ind w:left="828" w:hanging="357"/>
        <w:textAlignment w:val="baseline"/>
        <w:rPr>
          <w:rFonts w:eastAsia="Malgun Gothic"/>
          <w:b/>
          <w:lang w:eastAsia="ko-KR"/>
        </w:rPr>
      </w:pPr>
      <w:r w:rsidRPr="00521442">
        <w:rPr>
          <w:rFonts w:eastAsia="Malgun Gothic"/>
          <w:b/>
          <w:u w:val="single"/>
          <w:lang w:eastAsia="ko-KR"/>
        </w:rPr>
        <w:t>In-band emission</w:t>
      </w:r>
      <w:r w:rsidRPr="00521442">
        <w:rPr>
          <w:rFonts w:eastAsia="Malgun Gothic" w:hint="eastAsia"/>
          <w:b/>
          <w:u w:val="single"/>
          <w:lang w:eastAsia="ko-KR"/>
        </w:rPr>
        <w:t xml:space="preserve">: </w:t>
      </w:r>
      <w:r w:rsidRPr="00521442">
        <w:t>The in-band emission interference is a significant problem for V2X communication, especially in congested vehicular environments. T</w:t>
      </w:r>
      <w:r w:rsidRPr="00521442">
        <w:rPr>
          <w:lang w:eastAsia="zh-CN"/>
        </w:rPr>
        <w:t xml:space="preserve">he in-band emission interference can be reduced for larger subcarrier spacing, as </w:t>
      </w:r>
      <w:r w:rsidR="00ED32B4" w:rsidRPr="00521442">
        <w:rPr>
          <w:lang w:eastAsia="zh-CN"/>
        </w:rPr>
        <w:t>fewer</w:t>
      </w:r>
      <w:r w:rsidRPr="00521442">
        <w:rPr>
          <w:lang w:eastAsia="zh-CN"/>
        </w:rPr>
        <w:t xml:space="preserve"> RBs </w:t>
      </w:r>
      <w:r w:rsidR="00ED32B4" w:rsidRPr="00521442">
        <w:rPr>
          <w:lang w:eastAsia="zh-CN"/>
        </w:rPr>
        <w:t>are defined in</w:t>
      </w:r>
      <w:r w:rsidRPr="00521442">
        <w:rPr>
          <w:lang w:eastAsia="zh-CN"/>
        </w:rPr>
        <w:t xml:space="preserve"> the same bandwidth, thus </w:t>
      </w:r>
      <w:r w:rsidR="00ED32B4" w:rsidRPr="00521442">
        <w:rPr>
          <w:lang w:eastAsia="zh-CN"/>
        </w:rPr>
        <w:t>fewer</w:t>
      </w:r>
      <w:r w:rsidRPr="00521442">
        <w:rPr>
          <w:lang w:eastAsia="zh-CN"/>
        </w:rPr>
        <w:t xml:space="preserve"> UEs </w:t>
      </w:r>
      <w:r w:rsidR="00ED32B4" w:rsidRPr="00521442">
        <w:rPr>
          <w:lang w:eastAsia="zh-CN"/>
        </w:rPr>
        <w:t xml:space="preserve">are </w:t>
      </w:r>
      <w:r w:rsidRPr="00521442">
        <w:rPr>
          <w:lang w:eastAsia="zh-CN"/>
        </w:rPr>
        <w:t xml:space="preserve">frequency-multiplexed. </w:t>
      </w:r>
    </w:p>
    <w:p w14:paraId="387B7020" w14:textId="77777777" w:rsidR="00A11DBC" w:rsidRPr="00521442" w:rsidRDefault="00A11DBC" w:rsidP="00A11DBC">
      <w:pPr>
        <w:overflowPunct w:val="0"/>
        <w:spacing w:after="180"/>
        <w:textAlignment w:val="baseline"/>
        <w:rPr>
          <w:color w:val="000000"/>
        </w:rPr>
      </w:pPr>
      <w:r w:rsidRPr="00521442">
        <w:rPr>
          <w:color w:val="000000"/>
        </w:rPr>
        <w:t xml:space="preserve">Additionally, based on our </w:t>
      </w:r>
      <w:r w:rsidRPr="00521442">
        <w:rPr>
          <w:rFonts w:hint="eastAsia"/>
          <w:color w:val="000000"/>
        </w:rPr>
        <w:t xml:space="preserve">link-level </w:t>
      </w:r>
      <w:r w:rsidRPr="00521442">
        <w:rPr>
          <w:color w:val="000000"/>
        </w:rPr>
        <w:fldChar w:fldCharType="begin"/>
      </w:r>
      <w:r w:rsidRPr="00521442">
        <w:rPr>
          <w:color w:val="000000"/>
        </w:rPr>
        <w:instrText xml:space="preserve"> REF _Ref524445165 \r \h  \* MERGEFORMAT </w:instrText>
      </w:r>
      <w:r w:rsidRPr="00521442">
        <w:rPr>
          <w:color w:val="000000"/>
        </w:rPr>
      </w:r>
      <w:r w:rsidRPr="00521442">
        <w:rPr>
          <w:color w:val="000000"/>
        </w:rPr>
        <w:fldChar w:fldCharType="separate"/>
      </w:r>
      <w:r w:rsidRPr="00521442">
        <w:rPr>
          <w:color w:val="000000"/>
        </w:rPr>
        <w:t>[5]</w:t>
      </w:r>
      <w:r w:rsidRPr="00521442">
        <w:rPr>
          <w:color w:val="000000"/>
        </w:rPr>
        <w:fldChar w:fldCharType="end"/>
      </w:r>
      <w:r w:rsidRPr="00521442">
        <w:rPr>
          <w:color w:val="000000"/>
        </w:rPr>
        <w:t xml:space="preserve"> and system-level </w:t>
      </w:r>
      <w:r w:rsidRPr="00521442">
        <w:rPr>
          <w:color w:val="000000"/>
        </w:rPr>
        <w:fldChar w:fldCharType="begin"/>
      </w:r>
      <w:r w:rsidRPr="00521442">
        <w:rPr>
          <w:color w:val="000000"/>
        </w:rPr>
        <w:instrText xml:space="preserve"> REF _Ref525199150 \w \h  \* MERGEFORMAT </w:instrText>
      </w:r>
      <w:r w:rsidRPr="00521442">
        <w:rPr>
          <w:color w:val="000000"/>
        </w:rPr>
      </w:r>
      <w:r w:rsidRPr="00521442">
        <w:rPr>
          <w:color w:val="000000"/>
        </w:rPr>
        <w:fldChar w:fldCharType="separate"/>
      </w:r>
      <w:r w:rsidRPr="00521442">
        <w:rPr>
          <w:color w:val="000000"/>
        </w:rPr>
        <w:t>[8]</w:t>
      </w:r>
      <w:r w:rsidRPr="00521442">
        <w:rPr>
          <w:color w:val="000000"/>
        </w:rPr>
        <w:fldChar w:fldCharType="end"/>
      </w:r>
      <w:r w:rsidRPr="00521442">
        <w:rPr>
          <w:color w:val="000000"/>
        </w:rPr>
        <w:t xml:space="preserve"> evaluation</w:t>
      </w:r>
      <w:r w:rsidRPr="00521442">
        <w:rPr>
          <w:rFonts w:hint="eastAsia"/>
          <w:color w:val="000000"/>
        </w:rPr>
        <w:t xml:space="preserve"> p</w:t>
      </w:r>
      <w:r w:rsidRPr="00521442">
        <w:rPr>
          <w:color w:val="000000"/>
        </w:rPr>
        <w:t>erformances of 60 kHz SCS, we have following observations:</w:t>
      </w:r>
    </w:p>
    <w:p w14:paraId="72894367" w14:textId="144927D3" w:rsidR="00A11DBC" w:rsidRPr="00521442" w:rsidRDefault="00A810F9" w:rsidP="00A11DBC">
      <w:pPr>
        <w:overflowPunct w:val="0"/>
        <w:spacing w:after="180"/>
        <w:textAlignment w:val="baseline"/>
        <w:rPr>
          <w:b/>
          <w:i/>
        </w:rPr>
      </w:pPr>
      <w:r w:rsidRPr="00521442">
        <w:rPr>
          <w:b/>
          <w:i/>
        </w:rPr>
        <w:t>Observation 2</w:t>
      </w:r>
      <w:r w:rsidR="00A11DBC" w:rsidRPr="00521442">
        <w:rPr>
          <w:b/>
          <w:i/>
        </w:rPr>
        <w:t>: In addition to necessity for supporting the range of envisaged scenarios, 60 kHz SCS also provides reduced packet delivery latency, reduced sensitivity to ICI,  lower relative DMRS overhead and reduced in-band emission interference</w:t>
      </w:r>
    </w:p>
    <w:p w14:paraId="62CBDA99" w14:textId="77777777" w:rsidR="00A11DBC" w:rsidRPr="00521442" w:rsidRDefault="00A11DBC" w:rsidP="00A11DBC"/>
    <w:p w14:paraId="0660DD24" w14:textId="1B52984B" w:rsidR="002A2A7C" w:rsidRPr="00521442" w:rsidRDefault="002A2A7C" w:rsidP="002A2A7C">
      <w:pPr>
        <w:pStyle w:val="Heading3"/>
      </w:pPr>
      <w:r w:rsidRPr="00521442">
        <w:t>15, 30</w:t>
      </w:r>
      <w:r w:rsidR="0048758E" w:rsidRPr="00521442">
        <w:t xml:space="preserve"> and</w:t>
      </w:r>
      <w:r w:rsidRPr="00521442">
        <w:t xml:space="preserve"> 60 kHz SCS</w:t>
      </w:r>
    </w:p>
    <w:p w14:paraId="56F1BA39" w14:textId="558128F8" w:rsidR="003A2C6C" w:rsidRPr="00521442" w:rsidRDefault="00A11DBC" w:rsidP="000F76B5">
      <w:pPr>
        <w:pStyle w:val="ListParagraph"/>
        <w:overflowPunct w:val="0"/>
        <w:snapToGrid/>
        <w:spacing w:after="180"/>
        <w:ind w:left="0"/>
        <w:textAlignment w:val="baseline"/>
      </w:pPr>
      <w:r w:rsidRPr="00521442">
        <w:t xml:space="preserve">While 60kHz is beneficial, it is necessary to evaluate whether a single numerology or multiple numerologies should be supported. </w:t>
      </w:r>
      <w:r w:rsidR="00D433C3" w:rsidRPr="00521442">
        <w:t xml:space="preserve">In the link and </w:t>
      </w:r>
      <w:r w:rsidR="006F3A0F" w:rsidRPr="00521442">
        <w:t>system le</w:t>
      </w:r>
      <w:r w:rsidR="00D433C3" w:rsidRPr="00521442">
        <w:t xml:space="preserve">vel simulations shown below (and in more detail </w:t>
      </w:r>
      <w:r w:rsidR="00F91313" w:rsidRPr="00521442">
        <w:t xml:space="preserve">including simulation assumptions </w:t>
      </w:r>
      <w:r w:rsidR="00D433C3" w:rsidRPr="00521442">
        <w:t xml:space="preserve">in [5], </w:t>
      </w:r>
      <w:r w:rsidR="004B1740" w:rsidRPr="00521442">
        <w:t>[8]</w:t>
      </w:r>
      <w:r w:rsidR="0079062E" w:rsidRPr="00521442">
        <w:t>)</w:t>
      </w:r>
      <w:r w:rsidR="00D433C3" w:rsidRPr="00521442">
        <w:t xml:space="preserve">, we have found that there are scenarios where 15 kHz and 30 kHz SCS provides </w:t>
      </w:r>
      <w:r w:rsidR="00446FC3" w:rsidRPr="00521442">
        <w:t xml:space="preserve">BLER, </w:t>
      </w:r>
      <w:r w:rsidR="00D433C3" w:rsidRPr="00521442">
        <w:t>PRR, PIR, and throughput advantages over 60 kHz, and also that there are scenarios where 60 kHz is the best SCS</w:t>
      </w:r>
      <w:r w:rsidR="003A2C6C" w:rsidRPr="00521442">
        <w:t xml:space="preserve">, shown in </w:t>
      </w:r>
      <w:r w:rsidR="003A2C6C" w:rsidRPr="00521442">
        <w:fldChar w:fldCharType="begin"/>
      </w:r>
      <w:r w:rsidR="003A2C6C" w:rsidRPr="00521442">
        <w:instrText xml:space="preserve"> REF _Ref525910311 \h </w:instrText>
      </w:r>
      <w:r w:rsidR="003A2C6C" w:rsidRPr="00521442">
        <w:fldChar w:fldCharType="separate"/>
      </w:r>
      <w:r w:rsidR="003A2C6C" w:rsidRPr="00521442">
        <w:t>Figure 3</w:t>
      </w:r>
      <w:r w:rsidR="003A2C6C" w:rsidRPr="00521442">
        <w:fldChar w:fldCharType="end"/>
      </w:r>
      <w:r w:rsidR="003A2C6C" w:rsidRPr="00521442">
        <w:t>.</w:t>
      </w:r>
      <w:r w:rsidR="00D433C3" w:rsidRPr="00521442">
        <w:t xml:space="preserve"> </w:t>
      </w:r>
    </w:p>
    <w:p w14:paraId="12820875" w14:textId="0A498562" w:rsidR="003A2C6C" w:rsidRPr="00521442" w:rsidRDefault="003A2C6C" w:rsidP="00A24468">
      <w:pPr>
        <w:pStyle w:val="ListParagraph"/>
        <w:overflowPunct w:val="0"/>
        <w:snapToGrid/>
        <w:spacing w:after="180"/>
        <w:ind w:left="0"/>
        <w:jc w:val="center"/>
        <w:textAlignment w:val="baseline"/>
      </w:pPr>
      <w:r w:rsidRPr="00521442">
        <w:rPr>
          <w:noProof/>
        </w:rPr>
        <w:drawing>
          <wp:inline distT="0" distB="0" distL="0" distR="0" wp14:anchorId="583375D2" wp14:editId="31953B70">
            <wp:extent cx="2904991" cy="2172801"/>
            <wp:effectExtent l="0" t="0" r="0" b="0"/>
            <wp:docPr id="25" name="图片 25" descr="C:\Users\d00373424\AppData\Roaming\eSpace_Desktop\UserData\d00373424\imagefiles\804F4703-243D-4AF6-AA02-A6CA6654C8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4F4703-243D-4AF6-AA02-A6CA6654C891" descr="C:\Users\d00373424\AppData\Roaming\eSpace_Desktop\UserData\d00373424\imagefiles\804F4703-243D-4AF6-AA02-A6CA6654C89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0975" cy="2184757"/>
                    </a:xfrm>
                    <a:prstGeom prst="rect">
                      <a:avLst/>
                    </a:prstGeom>
                    <a:noFill/>
                    <a:ln>
                      <a:noFill/>
                    </a:ln>
                  </pic:spPr>
                </pic:pic>
              </a:graphicData>
            </a:graphic>
          </wp:inline>
        </w:drawing>
      </w:r>
      <w:r w:rsidR="00022984" w:rsidRPr="00521442">
        <w:rPr>
          <w:rFonts w:hint="eastAsia"/>
          <w:lang w:eastAsia="zh-CN"/>
        </w:rPr>
        <w:t xml:space="preserve"> </w:t>
      </w:r>
      <w:r w:rsidR="00022984" w:rsidRPr="00521442">
        <w:rPr>
          <w:noProof/>
        </w:rPr>
        <w:drawing>
          <wp:inline distT="0" distB="0" distL="0" distR="0" wp14:anchorId="0C4796D7" wp14:editId="70E3572D">
            <wp:extent cx="2892646" cy="2168525"/>
            <wp:effectExtent l="0" t="0" r="3175" b="3175"/>
            <wp:docPr id="24" name="图片 24" descr="C:\Users\d00373424\AppData\Roaming\eSpace_Desktop\UserData\d00373424\imagefiles\968347CE-6236-4B8E-9B8E-174D9E564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68347CE-6236-4B8E-9B8E-174D9E564E38" descr="C:\Users\d00373424\AppData\Roaming\eSpace_Desktop\UserData\d00373424\imagefiles\968347CE-6236-4B8E-9B8E-174D9E564E38.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1086" cy="2174852"/>
                    </a:xfrm>
                    <a:prstGeom prst="rect">
                      <a:avLst/>
                    </a:prstGeom>
                    <a:noFill/>
                    <a:ln>
                      <a:noFill/>
                    </a:ln>
                  </pic:spPr>
                </pic:pic>
              </a:graphicData>
            </a:graphic>
          </wp:inline>
        </w:drawing>
      </w:r>
    </w:p>
    <w:p w14:paraId="776D8868" w14:textId="0E761D12" w:rsidR="003A2C6C" w:rsidRPr="00521442" w:rsidRDefault="00022984" w:rsidP="00A24468">
      <w:pPr>
        <w:pStyle w:val="ListParagraph"/>
        <w:overflowPunct w:val="0"/>
        <w:snapToGrid/>
        <w:spacing w:after="180"/>
        <w:ind w:left="0"/>
        <w:jc w:val="center"/>
        <w:textAlignment w:val="baseline"/>
      </w:pPr>
      <w:r w:rsidRPr="00521442">
        <w:rPr>
          <w:noProof/>
        </w:rPr>
        <w:drawing>
          <wp:inline distT="0" distB="0" distL="0" distR="0" wp14:anchorId="026F690B" wp14:editId="071D69F2">
            <wp:extent cx="3008870" cy="2265528"/>
            <wp:effectExtent l="0" t="0" r="0" b="0"/>
            <wp:docPr id="21" name="图片 21" descr="C:\Users\d00373424\AppData\Roaming\eSpace_Desktop\UserData\d00373424\imagefiles\6523A845-5E64-4E62-9D3B-8F76A9F0FB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523A845-5E64-4E62-9D3B-8F76A9F0FB7A" descr="C:\Users\d00373424\AppData\Roaming\eSpace_Desktop\UserData\d00373424\imagefiles\6523A845-5E64-4E62-9D3B-8F76A9F0FB7A.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4085" cy="2276984"/>
                    </a:xfrm>
                    <a:prstGeom prst="rect">
                      <a:avLst/>
                    </a:prstGeom>
                    <a:noFill/>
                    <a:ln>
                      <a:noFill/>
                    </a:ln>
                  </pic:spPr>
                </pic:pic>
              </a:graphicData>
            </a:graphic>
          </wp:inline>
        </w:drawing>
      </w:r>
    </w:p>
    <w:p w14:paraId="17A00D83" w14:textId="432BF635" w:rsidR="003A2C6C" w:rsidRPr="00521442" w:rsidRDefault="003A2C6C" w:rsidP="00A24468">
      <w:pPr>
        <w:pStyle w:val="Caption"/>
      </w:pPr>
      <w:bookmarkStart w:id="6" w:name="_Ref525910311"/>
      <w:r w:rsidRPr="00521442">
        <w:t xml:space="preserve">Figure </w:t>
      </w:r>
      <w:fldSimple w:instr=" SEQ Figure \* ARABIC ">
        <w:r w:rsidR="006F7DE5" w:rsidRPr="00521442">
          <w:t>3</w:t>
        </w:r>
      </w:fldSimple>
      <w:bookmarkEnd w:id="6"/>
      <w:r w:rsidRPr="00521442">
        <w:t>. System-level simulation of throughput, PRR and PIR performance.</w:t>
      </w:r>
    </w:p>
    <w:p w14:paraId="6E7EE833" w14:textId="01054F64" w:rsidR="00966DC6" w:rsidRPr="00521442" w:rsidRDefault="003A2C6C" w:rsidP="00A24468">
      <w:pPr>
        <w:pStyle w:val="ListParagraph"/>
        <w:overflowPunct w:val="0"/>
        <w:spacing w:after="180"/>
        <w:ind w:left="0"/>
        <w:contextualSpacing w:val="0"/>
        <w:textAlignment w:val="baseline"/>
      </w:pPr>
      <w:r w:rsidRPr="00521442">
        <w:t>For example at system level, 15 kHz or 30 kHz outperform 60 kHz in a highway-A periodic-2 scenario with 10 MHz bandwidth</w:t>
      </w:r>
      <w:r w:rsidRPr="00521442">
        <w:rPr>
          <w:rFonts w:hint="eastAsia"/>
          <w:lang w:eastAsia="zh-CN"/>
        </w:rPr>
        <w:t xml:space="preserve">. </w:t>
      </w:r>
      <w:r w:rsidR="00F91313" w:rsidRPr="00521442">
        <w:t xml:space="preserve">Due to limited bandwidth resources and relatively large </w:t>
      </w:r>
      <w:r w:rsidR="008D648F" w:rsidRPr="00521442">
        <w:t>traffic size</w:t>
      </w:r>
      <w:r w:rsidR="00F91313" w:rsidRPr="00521442">
        <w:t>, a UE needs multi-slot transmissions in 60 kHz SCS compared with in 15 kHz SCS</w:t>
      </w:r>
      <w:r w:rsidR="00681AE6" w:rsidRPr="00521442">
        <w:t>. E</w:t>
      </w:r>
      <w:r w:rsidR="00F91313" w:rsidRPr="00521442">
        <w:t xml:space="preserve">ach 60 kHz </w:t>
      </w:r>
      <w:r w:rsidR="00681AE6" w:rsidRPr="00521442">
        <w:t xml:space="preserve">SCS </w:t>
      </w:r>
      <w:r w:rsidR="00F91313" w:rsidRPr="00521442">
        <w:t xml:space="preserve">slot </w:t>
      </w:r>
      <w:r w:rsidR="008D648F" w:rsidRPr="00521442">
        <w:t>has to contain</w:t>
      </w:r>
      <w:r w:rsidR="00F91313" w:rsidRPr="00521442">
        <w:t xml:space="preserve"> </w:t>
      </w:r>
      <w:r w:rsidR="00681AE6" w:rsidRPr="00521442">
        <w:t xml:space="preserve">one </w:t>
      </w:r>
      <w:r w:rsidR="00F91313" w:rsidRPr="00521442">
        <w:t xml:space="preserve">PSCCH </w:t>
      </w:r>
      <w:r w:rsidR="00681AE6" w:rsidRPr="00521442">
        <w:t>and t</w:t>
      </w:r>
      <w:r w:rsidR="00F91313" w:rsidRPr="00521442">
        <w:t>his resul</w:t>
      </w:r>
      <w:r w:rsidR="00681AE6" w:rsidRPr="00521442">
        <w:t>ts in PSCCH</w:t>
      </w:r>
      <w:r w:rsidR="0079062E" w:rsidRPr="00521442">
        <w:t xml:space="preserve"> higher</w:t>
      </w:r>
      <w:r w:rsidR="00681AE6" w:rsidRPr="00521442">
        <w:t xml:space="preserve"> overhead compared</w:t>
      </w:r>
      <w:r w:rsidR="00F91313" w:rsidRPr="00521442">
        <w:t xml:space="preserve"> </w:t>
      </w:r>
      <w:r w:rsidR="00681AE6" w:rsidRPr="00521442">
        <w:t xml:space="preserve">with </w:t>
      </w:r>
      <w:r w:rsidR="00F91313" w:rsidRPr="00521442">
        <w:t>15 kHz</w:t>
      </w:r>
      <w:r w:rsidR="00681AE6" w:rsidRPr="00521442">
        <w:t xml:space="preserve"> SCS. </w:t>
      </w:r>
      <w:r w:rsidR="00681AE6" w:rsidRPr="00521442">
        <w:rPr>
          <w:rFonts w:hint="eastAsia"/>
          <w:lang w:eastAsia="zh-CN"/>
        </w:rPr>
        <w:t>I</w:t>
      </w:r>
      <w:r w:rsidR="00681AE6" w:rsidRPr="00521442">
        <w:t xml:space="preserve">n addition, </w:t>
      </w:r>
      <w:r w:rsidR="008D648F" w:rsidRPr="00521442">
        <w:t xml:space="preserve">due to </w:t>
      </w:r>
      <w:r w:rsidR="00681AE6" w:rsidRPr="00521442">
        <w:lastRenderedPageBreak/>
        <w:t>higher layer segmentation (</w:t>
      </w:r>
      <w:r w:rsidR="008D648F" w:rsidRPr="00521442">
        <w:t xml:space="preserve">i.e. </w:t>
      </w:r>
      <w:r w:rsidR="00681AE6" w:rsidRPr="00521442">
        <w:t xml:space="preserve">extra </w:t>
      </w:r>
      <w:r w:rsidR="008D648F" w:rsidRPr="00521442">
        <w:t xml:space="preserve">PSSCH </w:t>
      </w:r>
      <w:r w:rsidR="00681AE6" w:rsidRPr="00521442">
        <w:t xml:space="preserve">overhead </w:t>
      </w:r>
      <w:r w:rsidR="008D648F" w:rsidRPr="00521442">
        <w:t>on every 60 kHz slot</w:t>
      </w:r>
      <w:r w:rsidR="00681AE6" w:rsidRPr="00521442">
        <w:t xml:space="preserve">), </w:t>
      </w:r>
      <w:r w:rsidR="00F91313" w:rsidRPr="00521442">
        <w:t>code rate in 60 kHz</w:t>
      </w:r>
      <w:r w:rsidR="00681AE6" w:rsidRPr="00521442">
        <w:t xml:space="preserve"> SCS</w:t>
      </w:r>
      <w:r w:rsidR="00F91313" w:rsidRPr="00521442">
        <w:t xml:space="preserve"> is higher than in 15 kHz</w:t>
      </w:r>
      <w:r w:rsidR="00681AE6" w:rsidRPr="00521442">
        <w:t xml:space="preserve"> SCS</w:t>
      </w:r>
      <w:r w:rsidR="008D648F" w:rsidRPr="00521442">
        <w:t>.</w:t>
      </w:r>
      <w:r w:rsidR="00F91313" w:rsidRPr="00521442">
        <w:t xml:space="preserve"> </w:t>
      </w:r>
      <w:r w:rsidR="008D648F" w:rsidRPr="00521442">
        <w:t>Consequently</w:t>
      </w:r>
      <w:r w:rsidRPr="00521442">
        <w:t>,</w:t>
      </w:r>
      <w:r w:rsidR="008D648F" w:rsidRPr="00521442">
        <w:t xml:space="preserve"> </w:t>
      </w:r>
      <w:r w:rsidRPr="00521442">
        <w:t xml:space="preserve">in terms of </w:t>
      </w:r>
      <w:r w:rsidR="00022984" w:rsidRPr="00521442">
        <w:t xml:space="preserve">average UE </w:t>
      </w:r>
      <w:r w:rsidR="008D648F" w:rsidRPr="00521442">
        <w:t>throughput,</w:t>
      </w:r>
      <w:r w:rsidR="00022984" w:rsidRPr="00521442">
        <w:t xml:space="preserve"> system</w:t>
      </w:r>
      <w:r w:rsidR="008D648F" w:rsidRPr="00521442">
        <w:t xml:space="preserve"> PPR</w:t>
      </w:r>
      <w:r w:rsidR="0079062E" w:rsidRPr="00521442">
        <w:t>,</w:t>
      </w:r>
      <w:r w:rsidR="008D648F" w:rsidRPr="00521442">
        <w:t xml:space="preserve"> and </w:t>
      </w:r>
      <w:r w:rsidR="00022984" w:rsidRPr="00521442">
        <w:t xml:space="preserve">system </w:t>
      </w:r>
      <w:r w:rsidR="008D648F" w:rsidRPr="00521442">
        <w:t>PIR</w:t>
      </w:r>
      <w:r w:rsidRPr="00521442">
        <w:t>, 15 kHz</w:t>
      </w:r>
      <w:r w:rsidR="00022984" w:rsidRPr="00521442">
        <w:t>/30 kHz</w:t>
      </w:r>
      <w:r w:rsidR="008D648F" w:rsidRPr="00521442">
        <w:t xml:space="preserve"> </w:t>
      </w:r>
      <w:r w:rsidRPr="00521442">
        <w:t>outperforms 60 kHz by</w:t>
      </w:r>
      <w:r w:rsidR="00966DC6" w:rsidRPr="00521442">
        <w:t xml:space="preserve"> maximum</w:t>
      </w:r>
      <w:r w:rsidR="00022984" w:rsidRPr="00521442">
        <w:t xml:space="preserve"> gain</w:t>
      </w:r>
      <w:r w:rsidR="00966DC6" w:rsidRPr="00521442">
        <w:t>s</w:t>
      </w:r>
      <w:r w:rsidR="00022984" w:rsidRPr="00521442">
        <w:t xml:space="preserve"> of</w:t>
      </w:r>
      <w:r w:rsidRPr="00521442">
        <w:t xml:space="preserve"> </w:t>
      </w:r>
      <w:r w:rsidR="00022984" w:rsidRPr="00521442">
        <w:t>50%</w:t>
      </w:r>
      <w:r w:rsidR="00022984" w:rsidRPr="00521442">
        <w:rPr>
          <w:rFonts w:hint="eastAsia"/>
          <w:lang w:eastAsia="zh-CN"/>
        </w:rPr>
        <w:t xml:space="preserve">, </w:t>
      </w:r>
      <w:r w:rsidR="00022984" w:rsidRPr="00521442">
        <w:rPr>
          <w:lang w:eastAsia="zh-CN"/>
        </w:rPr>
        <w:t>54.5%, 37.2% respectively</w:t>
      </w:r>
      <w:r w:rsidR="0079062E" w:rsidRPr="00521442">
        <w:rPr>
          <w:lang w:eastAsia="zh-CN"/>
        </w:rPr>
        <w:t xml:space="preserve"> in this scenario</w:t>
      </w:r>
      <w:r w:rsidR="00022984" w:rsidRPr="00521442">
        <w:rPr>
          <w:lang w:eastAsia="zh-CN"/>
        </w:rPr>
        <w:t xml:space="preserve">. </w:t>
      </w:r>
    </w:p>
    <w:p w14:paraId="58979D9C" w14:textId="3ABAFEA3" w:rsidR="00791B99" w:rsidRPr="00521442" w:rsidRDefault="0079062E" w:rsidP="00A24468">
      <w:pPr>
        <w:pStyle w:val="ListParagraph"/>
        <w:overflowPunct w:val="0"/>
        <w:spacing w:after="180"/>
        <w:ind w:left="0"/>
        <w:contextualSpacing w:val="0"/>
        <w:textAlignment w:val="baseline"/>
      </w:pPr>
      <w:r w:rsidRPr="00521442">
        <w:t>I</w:t>
      </w:r>
      <w:r w:rsidR="003A2C6C" w:rsidRPr="00521442">
        <w:t xml:space="preserve">n another example, </w:t>
      </w:r>
      <w:r w:rsidR="006779FD" w:rsidRPr="00521442">
        <w:t>60 kHz outperform</w:t>
      </w:r>
      <w:r w:rsidR="001716C8" w:rsidRPr="00521442">
        <w:t>s</w:t>
      </w:r>
      <w:r w:rsidR="006779FD" w:rsidRPr="00521442">
        <w:t xml:space="preserve"> 15/30 kHz in</w:t>
      </w:r>
      <w:r w:rsidR="007E28BF" w:rsidRPr="00521442">
        <w:t xml:space="preserve"> </w:t>
      </w:r>
      <w:r w:rsidR="00245079" w:rsidRPr="00521442">
        <w:t xml:space="preserve">highway-A periodic-2 with 20 and 100 </w:t>
      </w:r>
      <w:r w:rsidR="00791B99" w:rsidRPr="00521442">
        <w:t xml:space="preserve">MHz bandwidth. </w:t>
      </w:r>
      <w:r w:rsidR="00966DC6" w:rsidRPr="00521442">
        <w:t xml:space="preserve">With </w:t>
      </w:r>
      <w:r w:rsidR="00791B99" w:rsidRPr="00521442">
        <w:t xml:space="preserve">larger </w:t>
      </w:r>
      <w:r w:rsidR="00245079" w:rsidRPr="00521442">
        <w:t xml:space="preserve">bandwidth </w:t>
      </w:r>
      <w:r w:rsidR="00791B99" w:rsidRPr="00521442">
        <w:t xml:space="preserve">resource for 60 kHz transmission in frequency domain, </w:t>
      </w:r>
      <w:r w:rsidR="00372825" w:rsidRPr="00521442">
        <w:t xml:space="preserve">fewer </w:t>
      </w:r>
      <w:r w:rsidR="00791B99" w:rsidRPr="00521442">
        <w:t>slot</w:t>
      </w:r>
      <w:r w:rsidR="00372825" w:rsidRPr="00521442">
        <w:t>s</w:t>
      </w:r>
      <w:r w:rsidR="00791B99" w:rsidRPr="00521442">
        <w:t xml:space="preserve"> transmission</w:t>
      </w:r>
      <w:r w:rsidR="00966DC6" w:rsidRPr="00521442">
        <w:t xml:space="preserve"> </w:t>
      </w:r>
      <w:r w:rsidR="00372825" w:rsidRPr="00521442">
        <w:t xml:space="preserve">is </w:t>
      </w:r>
      <w:r w:rsidR="00966DC6" w:rsidRPr="00521442">
        <w:t>needed, i.e.</w:t>
      </w:r>
      <w:r w:rsidR="00791B99" w:rsidRPr="00521442">
        <w:t xml:space="preserve"> less PSCCH and PSSCH overhead. In addition, </w:t>
      </w:r>
      <w:r w:rsidR="00966DC6" w:rsidRPr="00521442">
        <w:t>there are</w:t>
      </w:r>
      <w:r w:rsidR="00372825" w:rsidRPr="00521442">
        <w:t xml:space="preserve"> fewer</w:t>
      </w:r>
      <w:r w:rsidR="00791B99" w:rsidRPr="00521442">
        <w:rPr>
          <w:lang w:eastAsia="zh-CN"/>
        </w:rPr>
        <w:t xml:space="preserve"> UEs multiplexed in frequency</w:t>
      </w:r>
      <w:r w:rsidR="00966DC6" w:rsidRPr="00521442">
        <w:rPr>
          <w:lang w:eastAsia="zh-CN"/>
        </w:rPr>
        <w:t xml:space="preserve"> domain</w:t>
      </w:r>
      <w:r w:rsidR="00791B99" w:rsidRPr="00521442">
        <w:rPr>
          <w:lang w:eastAsia="zh-CN"/>
        </w:rPr>
        <w:t xml:space="preserve"> </w:t>
      </w:r>
      <w:r w:rsidR="00372825" w:rsidRPr="00521442">
        <w:rPr>
          <w:lang w:eastAsia="zh-CN"/>
        </w:rPr>
        <w:t xml:space="preserve">with </w:t>
      </w:r>
      <w:r w:rsidR="00791B99" w:rsidRPr="00521442">
        <w:rPr>
          <w:lang w:eastAsia="zh-CN"/>
        </w:rPr>
        <w:t>60 kHz</w:t>
      </w:r>
      <w:r w:rsidR="00966DC6" w:rsidRPr="00521442">
        <w:rPr>
          <w:lang w:eastAsia="zh-CN"/>
        </w:rPr>
        <w:t xml:space="preserve"> SCS</w:t>
      </w:r>
      <w:r w:rsidR="00791B99" w:rsidRPr="00521442">
        <w:rPr>
          <w:lang w:eastAsia="zh-CN"/>
        </w:rPr>
        <w:t>, and hence the blockage due to in-band emission</w:t>
      </w:r>
      <w:r w:rsidR="00F218CE" w:rsidRPr="00521442">
        <w:rPr>
          <w:lang w:eastAsia="zh-CN"/>
        </w:rPr>
        <w:t xml:space="preserve"> (IBE)</w:t>
      </w:r>
      <w:r w:rsidR="00791B99" w:rsidRPr="00521442">
        <w:rPr>
          <w:lang w:eastAsia="zh-CN"/>
        </w:rPr>
        <w:t xml:space="preserve"> is reduced compared to the case of </w:t>
      </w:r>
      <w:r w:rsidR="00966DC6" w:rsidRPr="00521442">
        <w:rPr>
          <w:lang w:eastAsia="zh-CN"/>
        </w:rPr>
        <w:t>15</w:t>
      </w:r>
      <w:r w:rsidR="00791B99" w:rsidRPr="00521442">
        <w:rPr>
          <w:lang w:eastAsia="zh-CN"/>
        </w:rPr>
        <w:t>/30 kHz</w:t>
      </w:r>
      <w:r w:rsidR="00966DC6" w:rsidRPr="00521442">
        <w:rPr>
          <w:lang w:eastAsia="zh-CN"/>
        </w:rPr>
        <w:t xml:space="preserve">. The </w:t>
      </w:r>
      <w:r w:rsidR="00966DC6" w:rsidRPr="00521442">
        <w:t>average UE throughput, system PPR</w:t>
      </w:r>
      <w:r w:rsidR="00372825" w:rsidRPr="00521442">
        <w:t>,</w:t>
      </w:r>
      <w:r w:rsidR="00966DC6" w:rsidRPr="00521442">
        <w:t xml:space="preserve"> and system PIR for 60 kHz achieves maximum gains of 1</w:t>
      </w:r>
      <w:r w:rsidR="00F218CE" w:rsidRPr="00521442">
        <w:t>7.6</w:t>
      </w:r>
      <w:r w:rsidR="00966DC6" w:rsidRPr="00521442">
        <w:t xml:space="preserve">%, </w:t>
      </w:r>
      <w:r w:rsidR="00F218CE" w:rsidRPr="00521442">
        <w:t>14.8%, 16.6% over 15/30 kHz with 20 MHz bandwidth, respectively, and 12.5%, 5.2%, 10% over 15 kHz with 1000 MHz bandwidth, respectively,</w:t>
      </w:r>
    </w:p>
    <w:p w14:paraId="46EA9D5B" w14:textId="070FCB26" w:rsidR="006F7DE5" w:rsidRPr="00521442" w:rsidRDefault="006B154A" w:rsidP="00A24468">
      <w:pPr>
        <w:pStyle w:val="ListParagraph"/>
        <w:overflowPunct w:val="0"/>
        <w:spacing w:after="180"/>
        <w:ind w:left="0"/>
        <w:contextualSpacing w:val="0"/>
        <w:textAlignment w:val="baseline"/>
      </w:pPr>
      <w:r w:rsidRPr="00521442">
        <w:t xml:space="preserve">At link level, we have found that 60 kHz SCS </w:t>
      </w:r>
      <w:r w:rsidR="00794DB2" w:rsidRPr="00521442">
        <w:t>can avoid</w:t>
      </w:r>
      <w:r w:rsidRPr="00521442">
        <w:t xml:space="preserve"> a BLER floor at </w:t>
      </w:r>
      <w:r w:rsidR="00794DB2" w:rsidRPr="00521442">
        <w:t>500 km/h with a moderate code rate of 0.6</w:t>
      </w:r>
      <w:r w:rsidRPr="00521442">
        <w:t>, whereas 30 kH</w:t>
      </w:r>
      <w:r w:rsidR="00794DB2" w:rsidRPr="00521442">
        <w:t>z (and</w:t>
      </w:r>
      <w:r w:rsidR="00C718D2">
        <w:t xml:space="preserve"> consequently 15 kHz) has a </w:t>
      </w:r>
      <w:r w:rsidR="00794DB2" w:rsidRPr="00521442">
        <w:t>BLER floor</w:t>
      </w:r>
      <w:r w:rsidRPr="00521442">
        <w:t xml:space="preserve">. On the other hand, </w:t>
      </w:r>
      <w:r w:rsidR="00FF1C98" w:rsidRPr="00521442">
        <w:t xml:space="preserve">at low speeds and code rates, </w:t>
      </w:r>
      <w:r w:rsidR="00E51664" w:rsidRPr="00521442">
        <w:t>30</w:t>
      </w:r>
      <w:r w:rsidR="00FF1C98" w:rsidRPr="00521442">
        <w:t xml:space="preserve"> kHz give some </w:t>
      </w:r>
      <w:r w:rsidR="00C718D2">
        <w:t xml:space="preserve">small </w:t>
      </w:r>
      <w:r w:rsidR="00FF1C98" w:rsidRPr="00521442">
        <w:t>BLER gains over 60 kHz</w:t>
      </w:r>
      <w:r w:rsidR="006F7DE5" w:rsidRPr="00521442">
        <w:t xml:space="preserve">, as shown in </w:t>
      </w:r>
      <w:r w:rsidR="006F7DE5" w:rsidRPr="00521442">
        <w:fldChar w:fldCharType="begin"/>
      </w:r>
      <w:r w:rsidR="006F7DE5" w:rsidRPr="00521442">
        <w:instrText xml:space="preserve"> REF _Ref525922096 \h </w:instrText>
      </w:r>
      <w:r w:rsidR="006F7DE5" w:rsidRPr="00521442">
        <w:fldChar w:fldCharType="separate"/>
      </w:r>
      <w:r w:rsidR="006F7DE5" w:rsidRPr="00521442">
        <w:t>Figure 4</w:t>
      </w:r>
      <w:r w:rsidR="006F7DE5" w:rsidRPr="00521442">
        <w:fldChar w:fldCharType="end"/>
      </w:r>
      <w:r w:rsidR="006F7DE5" w:rsidRPr="00521442">
        <w:t xml:space="preserve">. </w:t>
      </w:r>
    </w:p>
    <w:p w14:paraId="731B76E3" w14:textId="47D463CE" w:rsidR="006F7DE5" w:rsidRPr="00521442" w:rsidRDefault="006F7DE5" w:rsidP="00A24468">
      <w:pPr>
        <w:pStyle w:val="ListParagraph"/>
        <w:keepNext/>
        <w:overflowPunct w:val="0"/>
        <w:spacing w:after="180"/>
        <w:ind w:left="0"/>
        <w:contextualSpacing w:val="0"/>
        <w:jc w:val="center"/>
        <w:textAlignment w:val="baseline"/>
      </w:pPr>
      <w:r w:rsidRPr="00521442">
        <w:rPr>
          <w:noProof/>
        </w:rPr>
        <w:drawing>
          <wp:inline distT="0" distB="0" distL="0" distR="0" wp14:anchorId="6BAA7F53" wp14:editId="15DFDAAA">
            <wp:extent cx="2855469" cy="2220427"/>
            <wp:effectExtent l="0" t="0" r="2540" b="8890"/>
            <wp:docPr id="22" name="图片 22" descr="C:\Users\g00165235\AppData\Roaming\eSpace_Desktop\UserData\g00443958\imagefiles\4E560471-6386-49C5-95D1-72F5BDCD45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E560471-6386-49C5-95D1-72F5BDCD459B" descr="C:\Users\g00165235\AppData\Roaming\eSpace_Desktop\UserData\g00443958\imagefiles\4E560471-6386-49C5-95D1-72F5BDCD459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221" cy="2239674"/>
                    </a:xfrm>
                    <a:prstGeom prst="rect">
                      <a:avLst/>
                    </a:prstGeom>
                    <a:noFill/>
                    <a:ln>
                      <a:noFill/>
                    </a:ln>
                  </pic:spPr>
                </pic:pic>
              </a:graphicData>
            </a:graphic>
          </wp:inline>
        </w:drawing>
      </w:r>
      <w:r w:rsidRPr="00521442">
        <w:rPr>
          <w:rFonts w:hint="eastAsia"/>
        </w:rPr>
        <w:t xml:space="preserve"> </w:t>
      </w:r>
      <w:r w:rsidRPr="00521442">
        <w:rPr>
          <w:noProof/>
        </w:rPr>
        <w:drawing>
          <wp:inline distT="0" distB="0" distL="0" distR="0" wp14:anchorId="7B425E0C" wp14:editId="0E329E18">
            <wp:extent cx="2805937" cy="2168421"/>
            <wp:effectExtent l="0" t="0" r="0" b="3810"/>
            <wp:docPr id="23" name="图片 23" descr="C:\Users\g00165235\AppData\Roaming\eSpace_Desktop\UserData\g00443958\imagefiles\0F7556CC-5654-4D64-9F40-1E6672A3DC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7556CC-5654-4D64-9F40-1E6672A3DCBA" descr="C:\Users\g00165235\AppData\Roaming\eSpace_Desktop\UserData\g00443958\imagefiles\0F7556CC-5654-4D64-9F40-1E6672A3DCBA.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2954" cy="2204756"/>
                    </a:xfrm>
                    <a:prstGeom prst="rect">
                      <a:avLst/>
                    </a:prstGeom>
                    <a:noFill/>
                    <a:ln>
                      <a:noFill/>
                    </a:ln>
                  </pic:spPr>
                </pic:pic>
              </a:graphicData>
            </a:graphic>
          </wp:inline>
        </w:drawing>
      </w:r>
    </w:p>
    <w:p w14:paraId="600B9200" w14:textId="65A5A138" w:rsidR="006F3A0F" w:rsidRPr="00521442" w:rsidRDefault="006F7DE5" w:rsidP="00A24468">
      <w:pPr>
        <w:pStyle w:val="Caption"/>
      </w:pPr>
      <w:bookmarkStart w:id="7" w:name="_Ref525922096"/>
      <w:r w:rsidRPr="00521442">
        <w:t xml:space="preserve">Figure </w:t>
      </w:r>
      <w:fldSimple w:instr=" SEQ Figure \* ARABIC ">
        <w:r w:rsidRPr="00521442">
          <w:t>4</w:t>
        </w:r>
      </w:fldSimple>
      <w:bookmarkEnd w:id="7"/>
      <w:r w:rsidRPr="00521442">
        <w:t>. Link-level performance for 30 kHz and 60 kHz.</w:t>
      </w:r>
    </w:p>
    <w:p w14:paraId="3EA09EBB" w14:textId="3EB37D6B" w:rsidR="00A11DBC" w:rsidRPr="00521442" w:rsidRDefault="00A11DBC" w:rsidP="00A11DBC">
      <w:pPr>
        <w:overflowPunct w:val="0"/>
        <w:spacing w:after="180"/>
        <w:textAlignment w:val="baseline"/>
        <w:rPr>
          <w:b/>
          <w:i/>
        </w:rPr>
      </w:pPr>
      <w:r w:rsidRPr="00521442">
        <w:rPr>
          <w:b/>
          <w:i/>
        </w:rPr>
        <w:t xml:space="preserve">Observation </w:t>
      </w:r>
      <w:r w:rsidR="00A810F9" w:rsidRPr="00521442">
        <w:rPr>
          <w:b/>
          <w:i/>
        </w:rPr>
        <w:t>3</w:t>
      </w:r>
      <w:r w:rsidRPr="00521442">
        <w:rPr>
          <w:b/>
          <w:i/>
        </w:rPr>
        <w:t xml:space="preserve">: </w:t>
      </w:r>
      <w:r w:rsidR="00E51664" w:rsidRPr="00521442">
        <w:rPr>
          <w:b/>
          <w:i/>
        </w:rPr>
        <w:t>T</w:t>
      </w:r>
      <w:r w:rsidRPr="00521442">
        <w:rPr>
          <w:b/>
          <w:i/>
        </w:rPr>
        <w:t>he subcarrier spacing giving the best link-level/system-level performance is dependent on the scenario</w:t>
      </w:r>
      <w:r w:rsidR="00C718D2" w:rsidRPr="00C718D2">
        <w:t xml:space="preserve"> </w:t>
      </w:r>
      <w:r w:rsidR="00C718D2" w:rsidRPr="00C718D2">
        <w:rPr>
          <w:b/>
          <w:i/>
        </w:rPr>
        <w:t>(e.g., system bandwidth, supported speeds, ...)</w:t>
      </w:r>
    </w:p>
    <w:p w14:paraId="507B0E3E" w14:textId="21D6C760" w:rsidR="00A11DBC" w:rsidRPr="00521442" w:rsidRDefault="00A11DBC" w:rsidP="00A810F9">
      <w:pPr>
        <w:overflowPunct w:val="0"/>
        <w:spacing w:after="180"/>
        <w:textAlignment w:val="baseline"/>
      </w:pPr>
      <w:r w:rsidRPr="00521442">
        <w:rPr>
          <w:b/>
          <w:i/>
        </w:rPr>
        <w:t xml:space="preserve"> </w:t>
      </w:r>
    </w:p>
    <w:p w14:paraId="26795807" w14:textId="039DC8BE" w:rsidR="00D8192A" w:rsidRPr="00521442" w:rsidRDefault="004471AE" w:rsidP="006F7DE5">
      <w:pPr>
        <w:rPr>
          <w:b/>
          <w:i/>
        </w:rPr>
      </w:pPr>
      <w:r w:rsidRPr="00521442">
        <w:rPr>
          <w:color w:val="000000"/>
        </w:rPr>
        <w:t>We therefore propose</w:t>
      </w:r>
      <w:r w:rsidR="00D8192A" w:rsidRPr="00521442">
        <w:rPr>
          <w:color w:val="000000"/>
        </w:rPr>
        <w:t>:</w:t>
      </w:r>
    </w:p>
    <w:p w14:paraId="34754C77" w14:textId="77777777" w:rsidR="00EA4EF6" w:rsidRPr="00521442" w:rsidRDefault="00EA4EF6" w:rsidP="00EA4EF6">
      <w:pPr>
        <w:snapToGrid/>
        <w:contextualSpacing/>
        <w:jc w:val="left"/>
        <w:rPr>
          <w:b/>
          <w:i/>
        </w:rPr>
      </w:pPr>
      <w:r w:rsidRPr="00521442">
        <w:rPr>
          <w:b/>
          <w:i/>
        </w:rPr>
        <w:t>Proposal 6: NR sidelink supports the following subcarrier spacings:</w:t>
      </w:r>
    </w:p>
    <w:p w14:paraId="1303363E" w14:textId="77777777" w:rsidR="00EA4EF6" w:rsidRPr="00521442" w:rsidRDefault="00EA4EF6" w:rsidP="00EA4EF6">
      <w:pPr>
        <w:pStyle w:val="ListParagraph"/>
        <w:widowControl w:val="0"/>
        <w:numPr>
          <w:ilvl w:val="0"/>
          <w:numId w:val="3"/>
        </w:numPr>
        <w:overflowPunct w:val="0"/>
        <w:snapToGrid/>
        <w:spacing w:before="80" w:after="80"/>
        <w:jc w:val="left"/>
        <w:textAlignment w:val="baseline"/>
        <w:rPr>
          <w:rFonts w:eastAsia="MS Mincho"/>
          <w:b/>
          <w:i/>
        </w:rPr>
      </w:pPr>
      <w:r w:rsidRPr="00521442">
        <w:rPr>
          <w:rFonts w:eastAsia="MS Mincho"/>
          <w:b/>
          <w:i/>
        </w:rPr>
        <w:t>15 kHz, 30 kHz, and 60 kHz for FR1</w:t>
      </w:r>
    </w:p>
    <w:p w14:paraId="33D3D9DE" w14:textId="13C68780" w:rsidR="00EA4EF6" w:rsidRPr="00521442" w:rsidRDefault="00EA4EF6" w:rsidP="00FF7B93">
      <w:pPr>
        <w:pStyle w:val="ListParagraph"/>
        <w:widowControl w:val="0"/>
        <w:numPr>
          <w:ilvl w:val="0"/>
          <w:numId w:val="3"/>
        </w:numPr>
        <w:overflowPunct w:val="0"/>
        <w:spacing w:before="80" w:after="80"/>
        <w:contextualSpacing w:val="0"/>
        <w:jc w:val="left"/>
        <w:textAlignment w:val="baseline"/>
      </w:pPr>
      <w:r w:rsidRPr="00521442">
        <w:rPr>
          <w:rFonts w:eastAsia="MS Mincho"/>
          <w:b/>
          <w:i/>
        </w:rPr>
        <w:t>60 kHz and 120 kHz  for FR2</w:t>
      </w:r>
    </w:p>
    <w:p w14:paraId="02FDE6C5" w14:textId="2377B0B1" w:rsidR="00650B34" w:rsidRPr="00521442" w:rsidRDefault="00650B34" w:rsidP="00A810F9">
      <w:pPr>
        <w:pStyle w:val="Heading3"/>
      </w:pPr>
      <w:r w:rsidRPr="00521442">
        <w:t>Cyclic prefix length</w:t>
      </w:r>
    </w:p>
    <w:p w14:paraId="090AC093" w14:textId="0A3B9DE6" w:rsidR="009D4987" w:rsidRPr="00521442" w:rsidRDefault="001612E0" w:rsidP="006F7DE5">
      <w:pPr>
        <w:overflowPunct w:val="0"/>
        <w:spacing w:after="180"/>
        <w:textAlignment w:val="baseline"/>
      </w:pPr>
      <w:r w:rsidRPr="00521442">
        <w:t xml:space="preserve">For </w:t>
      </w:r>
      <w:r w:rsidR="009D4987" w:rsidRPr="00521442">
        <w:t xml:space="preserve">NR Uu, </w:t>
      </w:r>
      <w:r w:rsidR="005A74D3" w:rsidRPr="00521442">
        <w:t>normal and extended cyclic prefixes are</w:t>
      </w:r>
      <w:r w:rsidR="009D4987" w:rsidRPr="00521442">
        <w:t xml:space="preserve"> defined, where ECP can be applied </w:t>
      </w:r>
      <w:r w:rsidRPr="00521442">
        <w:t>for</w:t>
      </w:r>
      <w:r w:rsidR="009D4987" w:rsidRPr="00521442">
        <w:t xml:space="preserve"> 60 kHz SCS. </w:t>
      </w:r>
      <w:r w:rsidRPr="00521442">
        <w:t>Having a longer CP length enables the UE to handle larger delay spreads and to tolerate larger synchronization errors. The synchronization error due to propagation delay can be significant.</w:t>
      </w:r>
      <w:r w:rsidR="005402AE" w:rsidRPr="00521442">
        <w:t xml:space="preserve"> For</w:t>
      </w:r>
      <w:r w:rsidRPr="00521442">
        <w:t xml:space="preserve"> instance, the</w:t>
      </w:r>
      <w:r w:rsidR="00227CC6" w:rsidRPr="00521442">
        <w:t xml:space="preserve"> </w:t>
      </w:r>
      <w:r w:rsidR="00FF7B93" w:rsidRPr="00521442">
        <w:t xml:space="preserve">60 kHz </w:t>
      </w:r>
      <w:r w:rsidR="00227CC6" w:rsidRPr="00521442">
        <w:t>NCP</w:t>
      </w:r>
      <w:r w:rsidR="00AB1B65" w:rsidRPr="00521442">
        <w:t xml:space="preserve"> </w:t>
      </w:r>
      <w:r w:rsidRPr="00521442">
        <w:t xml:space="preserve">is </w:t>
      </w:r>
      <w:r w:rsidR="00AB1B65" w:rsidRPr="00521442">
        <w:t>1.17</w:t>
      </w:r>
      <w:r w:rsidR="00E51664" w:rsidRPr="00521442">
        <w:t xml:space="preserve"> </w:t>
      </w:r>
      <w:r w:rsidR="00AB1B65" w:rsidRPr="00521442">
        <w:rPr>
          <w:color w:val="000000"/>
        </w:rPr>
        <w:t>μs</w:t>
      </w:r>
      <w:r w:rsidR="00AB1B65" w:rsidRPr="00521442">
        <w:t xml:space="preserve"> in length</w:t>
      </w:r>
      <w:r w:rsidRPr="00521442">
        <w:t>, and corresponds to a distance of</w:t>
      </w:r>
      <w:r w:rsidR="009631CC" w:rsidRPr="00521442">
        <w:t xml:space="preserve"> 351</w:t>
      </w:r>
      <w:r w:rsidR="00E51664" w:rsidRPr="00521442">
        <w:t xml:space="preserve"> </w:t>
      </w:r>
      <w:r w:rsidR="009631CC" w:rsidRPr="00521442">
        <w:t>m</w:t>
      </w:r>
      <w:r w:rsidRPr="00521442">
        <w:t>, which is not enough to meet the communication ranges of some applications (e.g.</w:t>
      </w:r>
      <w:r w:rsidR="005402AE" w:rsidRPr="00521442">
        <w:t>, t</w:t>
      </w:r>
      <w:r w:rsidRPr="00521442">
        <w:t xml:space="preserve">he </w:t>
      </w:r>
      <w:r w:rsidR="009631CC" w:rsidRPr="00521442">
        <w:rPr>
          <w:rFonts w:hint="eastAsia"/>
        </w:rPr>
        <w:t xml:space="preserve">NR V2X </w:t>
      </w:r>
      <w:r w:rsidR="009631CC" w:rsidRPr="00521442">
        <w:t xml:space="preserve">requirements defined in </w:t>
      </w:r>
      <w:r w:rsidR="009631CC" w:rsidRPr="00521442">
        <w:fldChar w:fldCharType="begin"/>
      </w:r>
      <w:r w:rsidR="009631CC" w:rsidRPr="00521442">
        <w:instrText xml:space="preserve"> REF _Ref521601378 \n \h </w:instrText>
      </w:r>
      <w:r w:rsidR="009631CC" w:rsidRPr="00521442">
        <w:fldChar w:fldCharType="separate"/>
      </w:r>
      <w:r w:rsidR="009631CC" w:rsidRPr="00521442">
        <w:t>[4]</w:t>
      </w:r>
      <w:r w:rsidR="009631CC" w:rsidRPr="00521442">
        <w:fldChar w:fldCharType="end"/>
      </w:r>
      <w:r w:rsidRPr="00521442">
        <w:t xml:space="preserve"> sometimes require</w:t>
      </w:r>
      <w:r w:rsidR="00B0244F" w:rsidRPr="00521442">
        <w:t xml:space="preserve"> 500/800/1000m communication range</w:t>
      </w:r>
      <w:r w:rsidR="009631CC" w:rsidRPr="00521442">
        <w:t>.</w:t>
      </w:r>
      <w:r w:rsidR="00AC7036" w:rsidRPr="00521442">
        <w:t xml:space="preserve">). Note that in addition, the CP has to accommodate for channel delay spread, thus the communication range in practice would be </w:t>
      </w:r>
      <w:r w:rsidR="00AC165E" w:rsidRPr="00521442">
        <w:t xml:space="preserve">shorter </w:t>
      </w:r>
      <w:r w:rsidR="00AC7036" w:rsidRPr="00521442">
        <w:t>than 351</w:t>
      </w:r>
      <w:r w:rsidR="00AC165E" w:rsidRPr="00521442">
        <w:t xml:space="preserve"> </w:t>
      </w:r>
      <w:r w:rsidR="00AC7036" w:rsidRPr="00521442">
        <w:t>m.</w:t>
      </w:r>
      <w:r w:rsidR="009631CC" w:rsidRPr="00521442">
        <w:rPr>
          <w:rFonts w:hint="eastAsia"/>
        </w:rPr>
        <w:t xml:space="preserve"> </w:t>
      </w:r>
      <w:r w:rsidR="00C21A78" w:rsidRPr="00521442">
        <w:t>UE may rely on different numerologies, e.g., the 15 kHz SCS has a normal CP of 4.7</w:t>
      </w:r>
      <w:r w:rsidR="00C21A78" w:rsidRPr="00521442">
        <w:rPr>
          <w:color w:val="000000"/>
        </w:rPr>
        <w:t>μs, to</w:t>
      </w:r>
      <w:r w:rsidR="00744DE3" w:rsidRPr="00521442">
        <w:t xml:space="preserve"> support </w:t>
      </w:r>
      <w:r w:rsidR="00C21A78" w:rsidRPr="00521442">
        <w:t>larger communication ranges, However, extended CP should be supported at least for 60 kHz,</w:t>
      </w:r>
      <w:r w:rsidR="00744DE3" w:rsidRPr="00521442">
        <w:t xml:space="preserve"> for the use cases where UE are travelling at very high speed with </w:t>
      </w:r>
      <w:r w:rsidR="00AC165E" w:rsidRPr="00521442">
        <w:t xml:space="preserve">very </w:t>
      </w:r>
      <w:r w:rsidR="00744DE3" w:rsidRPr="00521442">
        <w:t>low latency requirement</w:t>
      </w:r>
      <w:r w:rsidR="00AC165E" w:rsidRPr="00521442">
        <w:t>s</w:t>
      </w:r>
      <w:r w:rsidR="00744DE3" w:rsidRPr="00521442">
        <w:t xml:space="preserve"> and </w:t>
      </w:r>
      <w:r w:rsidR="00C21A78" w:rsidRPr="00521442">
        <w:t>throughout is not the target</w:t>
      </w:r>
      <w:r w:rsidR="00744DE3" w:rsidRPr="00521442">
        <w:t>, in order</w:t>
      </w:r>
      <w:r w:rsidR="00C21A78" w:rsidRPr="00521442">
        <w:t xml:space="preserve"> </w:t>
      </w:r>
      <w:r w:rsidR="00744DE3" w:rsidRPr="00521442">
        <w:t>to support longer sidelink communication range.</w:t>
      </w:r>
    </w:p>
    <w:p w14:paraId="19466B2F" w14:textId="056696D2" w:rsidR="00BA3F0A" w:rsidRPr="00521442" w:rsidRDefault="00BA3F0A" w:rsidP="009B1ED2">
      <w:pPr>
        <w:jc w:val="left"/>
        <w:rPr>
          <w:b/>
          <w:i/>
        </w:rPr>
      </w:pPr>
      <w:r w:rsidRPr="00521442">
        <w:rPr>
          <w:b/>
          <w:i/>
        </w:rPr>
        <w:lastRenderedPageBreak/>
        <w:t xml:space="preserve">Proposal </w:t>
      </w:r>
      <w:r w:rsidR="00C21023" w:rsidRPr="00521442">
        <w:rPr>
          <w:b/>
          <w:i/>
        </w:rPr>
        <w:t>7</w:t>
      </w:r>
      <w:r w:rsidRPr="00521442">
        <w:rPr>
          <w:b/>
          <w:i/>
        </w:rPr>
        <w:t xml:space="preserve">: </w:t>
      </w:r>
      <w:r w:rsidR="005D7303" w:rsidRPr="00521442">
        <w:rPr>
          <w:b/>
          <w:i/>
        </w:rPr>
        <w:t>Support</w:t>
      </w:r>
      <w:r w:rsidR="00C21023" w:rsidRPr="00521442">
        <w:rPr>
          <w:b/>
          <w:i/>
        </w:rPr>
        <w:t xml:space="preserve"> extended CP </w:t>
      </w:r>
      <w:r w:rsidR="009631CC" w:rsidRPr="00521442">
        <w:rPr>
          <w:b/>
          <w:i/>
        </w:rPr>
        <w:t>at least for</w:t>
      </w:r>
      <w:r w:rsidR="00C21023" w:rsidRPr="00521442">
        <w:rPr>
          <w:b/>
          <w:i/>
        </w:rPr>
        <w:t xml:space="preserve"> </w:t>
      </w:r>
      <w:r w:rsidR="005D7303" w:rsidRPr="00521442">
        <w:rPr>
          <w:b/>
          <w:i/>
        </w:rPr>
        <w:t>60 kHz SCS in FR1</w:t>
      </w:r>
      <w:r w:rsidR="00C21023" w:rsidRPr="00521442">
        <w:rPr>
          <w:b/>
          <w:i/>
        </w:rPr>
        <w:t xml:space="preserve">. </w:t>
      </w:r>
    </w:p>
    <w:p w14:paraId="473633A2" w14:textId="77777777" w:rsidR="004E7751" w:rsidRPr="00521442" w:rsidRDefault="004E7751" w:rsidP="000F76B5">
      <w:pPr>
        <w:pStyle w:val="Heading2"/>
        <w:tabs>
          <w:tab w:val="num" w:pos="4686"/>
        </w:tabs>
        <w:snapToGrid/>
        <w:ind w:left="578" w:hanging="578"/>
        <w:contextualSpacing/>
      </w:pPr>
      <w:r w:rsidRPr="00521442">
        <w:t>Frame structure</w:t>
      </w:r>
    </w:p>
    <w:p w14:paraId="0567A11A" w14:textId="6B1E4A2D" w:rsidR="004E7751" w:rsidRPr="00521442" w:rsidRDefault="004E7751" w:rsidP="000F76B5">
      <w:pPr>
        <w:rPr>
          <w:rFonts w:eastAsia="MS Mincho"/>
        </w:rPr>
      </w:pPr>
      <w:r w:rsidRPr="00521442">
        <w:rPr>
          <w:rFonts w:eastAsia="MS Mincho"/>
        </w:rPr>
        <w:t xml:space="preserve">NR Uu supports eMBB and URLLC use cases with differing technical requirements and scenarios. In order to accommodate these widely differing requirements, the frame structure was designed to be flexible. An NR Uu slot can be configured as a DL-only slot, a UL-only slot, or as a flexible slot. The NR Uu slot configuration can be done via cell-specific signaling, UE-specific RRC signaling, or group-common DCI with SFI-RNTI. </w:t>
      </w:r>
    </w:p>
    <w:p w14:paraId="739C0E5A" w14:textId="762D6F97" w:rsidR="004E7751" w:rsidRPr="00521442" w:rsidRDefault="00970FCF" w:rsidP="000F76B5">
      <w:pPr>
        <w:rPr>
          <w:rFonts w:eastAsia="MS Mincho"/>
        </w:rPr>
      </w:pPr>
      <w:r w:rsidRPr="00521442">
        <w:rPr>
          <w:rFonts w:eastAsia="MS Mincho"/>
        </w:rPr>
        <w:t>F</w:t>
      </w:r>
      <w:r w:rsidR="004E7751" w:rsidRPr="00521442">
        <w:rPr>
          <w:lang w:eastAsia="zh-CN"/>
        </w:rPr>
        <w:t>lexibility in the subframe configuration is crucial</w:t>
      </w:r>
      <w:r w:rsidRPr="00521442">
        <w:rPr>
          <w:lang w:eastAsia="zh-CN"/>
        </w:rPr>
        <w:t xml:space="preserve"> to support the set of use cases demanded in NR V2X</w:t>
      </w:r>
      <w:r w:rsidR="004E7751" w:rsidRPr="00521442">
        <w:rPr>
          <w:lang w:eastAsia="zh-CN"/>
        </w:rPr>
        <w:t>. In addition, the frame structure must be able to accommodate the case when the sidelink and Uu share the same carrier.</w:t>
      </w:r>
      <w:r w:rsidR="004E7751" w:rsidRPr="00521442">
        <w:rPr>
          <w:rFonts w:hint="eastAsia"/>
          <w:lang w:eastAsia="zh-CN"/>
        </w:rPr>
        <w:t xml:space="preserve"> </w:t>
      </w:r>
      <w:r w:rsidR="004E7751" w:rsidRPr="00521442">
        <w:rPr>
          <w:rFonts w:eastAsia="MS Mincho"/>
        </w:rPr>
        <w:t>Multiplexing of Uu and SL at symbol level allows fast scheduling of sidelink (DCI in DL symbol(s) at start of a slot) and immediate feedback to the gNB (e.g. SL-SCI report, HARQ-ACK in UL symbol(s) at end of the slot), and is therefore capable of multiple adaptive retransmissions within target latency boundary, e.g. end-to-end 3ms</w:t>
      </w:r>
      <w:r w:rsidR="000E7A3F" w:rsidRPr="00521442">
        <w:rPr>
          <w:rFonts w:eastAsia="MS Mincho"/>
        </w:rPr>
        <w:t xml:space="preserve"> </w:t>
      </w:r>
      <w:r w:rsidR="000E7A3F" w:rsidRPr="00521442">
        <w:rPr>
          <w:rFonts w:eastAsia="MS Mincho"/>
        </w:rPr>
        <w:fldChar w:fldCharType="begin"/>
      </w:r>
      <w:r w:rsidR="000E7A3F" w:rsidRPr="00521442">
        <w:rPr>
          <w:rFonts w:eastAsia="MS Mincho"/>
        </w:rPr>
        <w:instrText xml:space="preserve"> REF _Ref521601378 \r \h </w:instrText>
      </w:r>
      <w:r w:rsidR="006C69AA" w:rsidRPr="00521442">
        <w:rPr>
          <w:rFonts w:eastAsia="MS Mincho"/>
        </w:rPr>
        <w:instrText xml:space="preserve"> \* MERGEFORMAT </w:instrText>
      </w:r>
      <w:r w:rsidR="000E7A3F" w:rsidRPr="00521442">
        <w:rPr>
          <w:rFonts w:eastAsia="MS Mincho"/>
        </w:rPr>
      </w:r>
      <w:r w:rsidR="000E7A3F" w:rsidRPr="00521442">
        <w:rPr>
          <w:rFonts w:eastAsia="MS Mincho"/>
        </w:rPr>
        <w:fldChar w:fldCharType="separate"/>
      </w:r>
      <w:r w:rsidR="000E7A3F" w:rsidRPr="00521442">
        <w:rPr>
          <w:rFonts w:eastAsia="MS Mincho"/>
        </w:rPr>
        <w:t>[4]</w:t>
      </w:r>
      <w:r w:rsidR="000E7A3F" w:rsidRPr="00521442">
        <w:rPr>
          <w:rFonts w:eastAsia="MS Mincho"/>
        </w:rPr>
        <w:fldChar w:fldCharType="end"/>
      </w:r>
      <w:r w:rsidR="004E7751" w:rsidRPr="00521442">
        <w:rPr>
          <w:rFonts w:eastAsia="MS Mincho"/>
        </w:rPr>
        <w:t>.</w:t>
      </w:r>
      <w:r w:rsidR="004E7751" w:rsidRPr="00521442">
        <w:rPr>
          <w:rFonts w:hint="eastAsia"/>
          <w:lang w:eastAsia="zh-CN"/>
        </w:rPr>
        <w:t xml:space="preserve"> </w:t>
      </w:r>
      <w:r w:rsidR="004E7751" w:rsidRPr="00521442">
        <w:rPr>
          <w:lang w:eastAsia="zh-CN"/>
        </w:rPr>
        <w:t xml:space="preserve">Consequently, we propose to use the existing NR </w:t>
      </w:r>
      <w:r w:rsidR="00A30AAD" w:rsidRPr="00521442">
        <w:rPr>
          <w:lang w:eastAsia="zh-CN"/>
        </w:rPr>
        <w:t xml:space="preserve">slot </w:t>
      </w:r>
      <w:r w:rsidR="004E7751" w:rsidRPr="00521442">
        <w:rPr>
          <w:lang w:eastAsia="zh-CN"/>
        </w:rPr>
        <w:t>structure as the starting point for the V2X design. Both</w:t>
      </w:r>
      <w:r w:rsidR="004E7751" w:rsidRPr="00521442">
        <w:rPr>
          <w:rFonts w:eastAsia="MS Mincho"/>
        </w:rPr>
        <w:t xml:space="preserve"> SL-only and unified Uu &amp; SL slot need to be supported for NR V2X, as shown in  </w:t>
      </w:r>
      <w:r w:rsidR="004E7751" w:rsidRPr="00521442">
        <w:rPr>
          <w:rFonts w:eastAsia="MS Mincho"/>
        </w:rPr>
        <w:fldChar w:fldCharType="begin"/>
      </w:r>
      <w:r w:rsidR="004E7751" w:rsidRPr="00521442">
        <w:rPr>
          <w:rFonts w:eastAsia="MS Mincho"/>
        </w:rPr>
        <w:instrText xml:space="preserve"> REF _Ref524077423 \h </w:instrText>
      </w:r>
      <w:r w:rsidR="006C69AA" w:rsidRPr="00521442">
        <w:rPr>
          <w:rFonts w:eastAsia="MS Mincho"/>
        </w:rPr>
        <w:instrText xml:space="preserve"> \* MERGEFORMAT </w:instrText>
      </w:r>
      <w:r w:rsidR="004E7751" w:rsidRPr="00521442">
        <w:rPr>
          <w:rFonts w:eastAsia="MS Mincho"/>
        </w:rPr>
      </w:r>
      <w:r w:rsidR="004E7751" w:rsidRPr="00521442">
        <w:rPr>
          <w:rFonts w:eastAsia="MS Mincho"/>
        </w:rPr>
        <w:fldChar w:fldCharType="separate"/>
      </w:r>
      <w:r w:rsidR="006F7DE5" w:rsidRPr="00521442">
        <w:t>Figure 5</w:t>
      </w:r>
      <w:r w:rsidR="004E7751" w:rsidRPr="00521442">
        <w:rPr>
          <w:rFonts w:eastAsia="MS Mincho"/>
        </w:rPr>
        <w:fldChar w:fldCharType="end"/>
      </w:r>
      <w:r w:rsidR="004E7751" w:rsidRPr="00521442">
        <w:rPr>
          <w:rFonts w:eastAsia="MS Mincho"/>
        </w:rPr>
        <w:t xml:space="preserve"> and </w:t>
      </w:r>
      <w:r w:rsidR="004E7751" w:rsidRPr="00521442">
        <w:rPr>
          <w:rFonts w:eastAsia="MS Mincho"/>
        </w:rPr>
        <w:fldChar w:fldCharType="begin"/>
      </w:r>
      <w:r w:rsidR="004E7751" w:rsidRPr="00521442">
        <w:rPr>
          <w:rFonts w:eastAsia="MS Mincho"/>
        </w:rPr>
        <w:instrText xml:space="preserve"> REF _Ref524077430 \h </w:instrText>
      </w:r>
      <w:r w:rsidR="006C69AA" w:rsidRPr="00521442">
        <w:rPr>
          <w:rFonts w:eastAsia="MS Mincho"/>
        </w:rPr>
        <w:instrText xml:space="preserve"> \* MERGEFORMAT </w:instrText>
      </w:r>
      <w:r w:rsidR="004E7751" w:rsidRPr="00521442">
        <w:rPr>
          <w:rFonts w:eastAsia="MS Mincho"/>
        </w:rPr>
      </w:r>
      <w:r w:rsidR="004E7751" w:rsidRPr="00521442">
        <w:rPr>
          <w:rFonts w:eastAsia="MS Mincho"/>
        </w:rPr>
        <w:fldChar w:fldCharType="separate"/>
      </w:r>
      <w:r w:rsidR="006F7DE5" w:rsidRPr="00521442">
        <w:t>Figure 6</w:t>
      </w:r>
      <w:r w:rsidR="004E7751" w:rsidRPr="00521442">
        <w:rPr>
          <w:rFonts w:eastAsia="MS Mincho"/>
        </w:rPr>
        <w:fldChar w:fldCharType="end"/>
      </w:r>
      <w:r w:rsidR="004E7751" w:rsidRPr="00521442">
        <w:rPr>
          <w:rFonts w:eastAsia="MS Mincho"/>
        </w:rPr>
        <w:t xml:space="preserve"> (AGC symbol, gap symbol, etc. are included in SL).</w:t>
      </w:r>
    </w:p>
    <w:p w14:paraId="44DF7D78" w14:textId="77777777" w:rsidR="004E7751" w:rsidRPr="00521442" w:rsidRDefault="00F363EB" w:rsidP="000F76B5">
      <w:pPr>
        <w:keepNext/>
        <w:snapToGrid/>
        <w:contextualSpacing/>
        <w:jc w:val="center"/>
      </w:pPr>
      <w:r w:rsidRPr="00521442">
        <w:rPr>
          <w:noProof/>
        </w:rPr>
        <w:drawing>
          <wp:inline distT="0" distB="0" distL="0" distR="0" wp14:anchorId="30CD1D10" wp14:editId="47E0CE7F">
            <wp:extent cx="3807460" cy="777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07460" cy="777875"/>
                    </a:xfrm>
                    <a:prstGeom prst="rect">
                      <a:avLst/>
                    </a:prstGeom>
                    <a:noFill/>
                    <a:ln>
                      <a:noFill/>
                    </a:ln>
                  </pic:spPr>
                </pic:pic>
              </a:graphicData>
            </a:graphic>
          </wp:inline>
        </w:drawing>
      </w:r>
    </w:p>
    <w:p w14:paraId="4CDD384A" w14:textId="481EE200" w:rsidR="004E7751" w:rsidRPr="00521442" w:rsidRDefault="004E7751" w:rsidP="000F76B5">
      <w:pPr>
        <w:pStyle w:val="Caption"/>
        <w:rPr>
          <w:rFonts w:eastAsia="MS Mincho"/>
        </w:rPr>
      </w:pPr>
      <w:bookmarkStart w:id="8" w:name="_Ref524077423"/>
      <w:bookmarkStart w:id="9" w:name="_Ref525028721"/>
      <w:r w:rsidRPr="00521442">
        <w:t xml:space="preserve">Figure </w:t>
      </w:r>
      <w:fldSimple w:instr=" SEQ Figure \* ARABIC ">
        <w:r w:rsidR="006F7DE5" w:rsidRPr="00521442">
          <w:t>5</w:t>
        </w:r>
      </w:fldSimple>
      <w:bookmarkStart w:id="10" w:name="_Ref521602478"/>
      <w:bookmarkEnd w:id="8"/>
      <w:r w:rsidRPr="00521442">
        <w:rPr>
          <w:rFonts w:hint="eastAsia"/>
          <w:lang w:eastAsia="zh-CN"/>
        </w:rPr>
        <w:t xml:space="preserve">. </w:t>
      </w:r>
      <w:bookmarkStart w:id="11" w:name="_Ref525028739"/>
      <w:r w:rsidRPr="00521442">
        <w:t>SL-only slot</w:t>
      </w:r>
      <w:bookmarkEnd w:id="9"/>
      <w:bookmarkEnd w:id="10"/>
      <w:bookmarkEnd w:id="11"/>
    </w:p>
    <w:p w14:paraId="5DC54499" w14:textId="77777777" w:rsidR="004E7751" w:rsidRPr="00521442" w:rsidRDefault="004E7751" w:rsidP="000F76B5">
      <w:pPr>
        <w:contextualSpacing/>
        <w:jc w:val="center"/>
        <w:rPr>
          <w:b/>
          <w:sz w:val="21"/>
          <w:lang w:eastAsia="zh-CN"/>
        </w:rPr>
      </w:pPr>
    </w:p>
    <w:p w14:paraId="73E599FD" w14:textId="77777777" w:rsidR="004E7751" w:rsidRPr="00521442" w:rsidRDefault="00F363EB" w:rsidP="000F76B5">
      <w:pPr>
        <w:keepNext/>
        <w:snapToGrid/>
        <w:contextualSpacing/>
        <w:jc w:val="center"/>
      </w:pPr>
      <w:r w:rsidRPr="00521442">
        <w:rPr>
          <w:noProof/>
        </w:rPr>
        <w:drawing>
          <wp:inline distT="0" distB="0" distL="0" distR="0" wp14:anchorId="165EB641" wp14:editId="4A82A677">
            <wp:extent cx="5200015" cy="81216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00015" cy="812165"/>
                    </a:xfrm>
                    <a:prstGeom prst="rect">
                      <a:avLst/>
                    </a:prstGeom>
                    <a:noFill/>
                    <a:ln>
                      <a:noFill/>
                    </a:ln>
                  </pic:spPr>
                </pic:pic>
              </a:graphicData>
            </a:graphic>
          </wp:inline>
        </w:drawing>
      </w:r>
    </w:p>
    <w:p w14:paraId="4A517B24" w14:textId="4F33AE4C" w:rsidR="004E7751" w:rsidRPr="00521442" w:rsidRDefault="004E7751" w:rsidP="000F76B5">
      <w:pPr>
        <w:pStyle w:val="Caption"/>
        <w:rPr>
          <w:lang w:eastAsia="zh-CN"/>
        </w:rPr>
      </w:pPr>
      <w:bookmarkStart w:id="12" w:name="_Ref524077430"/>
      <w:r w:rsidRPr="00521442">
        <w:t xml:space="preserve">Figure </w:t>
      </w:r>
      <w:fldSimple w:instr=" SEQ Figure \* ARABIC ">
        <w:r w:rsidR="006F7DE5" w:rsidRPr="00521442">
          <w:t>6</w:t>
        </w:r>
      </w:fldSimple>
      <w:bookmarkStart w:id="13" w:name="_Ref521602508"/>
      <w:bookmarkEnd w:id="12"/>
      <w:r w:rsidRPr="00521442">
        <w:rPr>
          <w:rFonts w:hint="eastAsia"/>
          <w:lang w:eastAsia="zh-CN"/>
        </w:rPr>
        <w:t xml:space="preserve">. </w:t>
      </w:r>
      <w:r w:rsidRPr="00521442">
        <w:t>Unified Uu and SL slot</w:t>
      </w:r>
      <w:bookmarkEnd w:id="13"/>
    </w:p>
    <w:p w14:paraId="32EDF436" w14:textId="77777777" w:rsidR="004E7751" w:rsidRPr="00521442" w:rsidRDefault="004E7751" w:rsidP="000F76B5">
      <w:pPr>
        <w:snapToGrid/>
        <w:rPr>
          <w:rFonts w:eastAsia="MS Mincho"/>
        </w:rPr>
      </w:pPr>
      <w:r w:rsidRPr="00521442">
        <w:rPr>
          <w:rFonts w:eastAsia="MS Mincho"/>
        </w:rPr>
        <w:t>The NR Uu configuration for slots and symbols can be reused, with slot(s)/symbol(s) configured as “flexible” on a per-cell basis, and overwritten on a per-UE basis, or group-common DCI with SFI-RNTI.</w:t>
      </w:r>
    </w:p>
    <w:p w14:paraId="6DBE972D" w14:textId="64108234" w:rsidR="004E7751" w:rsidRPr="00521442" w:rsidRDefault="004E7751" w:rsidP="000F76B5">
      <w:pPr>
        <w:snapToGrid/>
        <w:rPr>
          <w:rFonts w:eastAsia="MS Mincho"/>
          <w:b/>
          <w:i/>
        </w:rPr>
      </w:pPr>
      <w:r w:rsidRPr="00521442">
        <w:rPr>
          <w:rFonts w:eastAsia="MS Mincho"/>
          <w:b/>
          <w:i/>
        </w:rPr>
        <w:t xml:space="preserve">Proposal </w:t>
      </w:r>
      <w:r w:rsidR="00C21023" w:rsidRPr="00521442">
        <w:rPr>
          <w:rFonts w:eastAsia="MS Mincho"/>
          <w:b/>
          <w:i/>
        </w:rPr>
        <w:t>8</w:t>
      </w:r>
      <w:r w:rsidRPr="00521442">
        <w:rPr>
          <w:rFonts w:eastAsia="MS Mincho"/>
          <w:b/>
          <w:i/>
        </w:rPr>
        <w:t>: The NR sidelink frame structure design is based on the existing NR frame structure</w:t>
      </w:r>
    </w:p>
    <w:p w14:paraId="43BA9834" w14:textId="77777777" w:rsidR="004E7751" w:rsidRPr="00521442" w:rsidRDefault="004E7751" w:rsidP="000F76B5">
      <w:pPr>
        <w:pStyle w:val="ListParagraph"/>
        <w:widowControl w:val="0"/>
        <w:numPr>
          <w:ilvl w:val="0"/>
          <w:numId w:val="3"/>
        </w:numPr>
        <w:overflowPunct w:val="0"/>
        <w:snapToGrid/>
        <w:spacing w:before="80" w:after="80"/>
        <w:textAlignment w:val="baseline"/>
        <w:rPr>
          <w:rFonts w:ascii="Arial" w:eastAsia="MS Mincho" w:hAnsi="Arial"/>
          <w:b/>
          <w:i/>
        </w:rPr>
      </w:pPr>
      <w:r w:rsidRPr="00521442">
        <w:rPr>
          <w:rFonts w:eastAsia="MS Mincho"/>
          <w:b/>
          <w:i/>
        </w:rPr>
        <w:t>Subframe configuration can allow sidelink-only slots and sidelink-Uu multiplexing within a slot</w:t>
      </w:r>
    </w:p>
    <w:p w14:paraId="686DCA4C" w14:textId="77777777" w:rsidR="004E7751" w:rsidRPr="00521442" w:rsidRDefault="004E7751" w:rsidP="000F76B5">
      <w:pPr>
        <w:pStyle w:val="ListParagraph"/>
        <w:widowControl w:val="0"/>
        <w:numPr>
          <w:ilvl w:val="0"/>
          <w:numId w:val="3"/>
        </w:numPr>
        <w:overflowPunct w:val="0"/>
        <w:snapToGrid/>
        <w:spacing w:before="80" w:after="80"/>
        <w:textAlignment w:val="baseline"/>
        <w:rPr>
          <w:rFonts w:eastAsia="MS Mincho"/>
          <w:b/>
          <w:i/>
        </w:rPr>
      </w:pPr>
      <w:r w:rsidRPr="00521442">
        <w:rPr>
          <w:rFonts w:eastAsia="MS Mincho"/>
          <w:b/>
          <w:i/>
        </w:rPr>
        <w:t xml:space="preserve">The NR Uu slots and symbols indication can be reused, with resources configured as “flexible” on a per-cell basis, and overwritten on a per-UE basis, or group-common DCI with SFI-RNTI </w:t>
      </w:r>
    </w:p>
    <w:p w14:paraId="56F6A36B" w14:textId="5BF0D2A5" w:rsidR="00532C6A" w:rsidRPr="00521442" w:rsidRDefault="00E30737" w:rsidP="000F76B5">
      <w:pPr>
        <w:snapToGrid/>
        <w:rPr>
          <w:rFonts w:eastAsia="MS Mincho"/>
        </w:rPr>
      </w:pPr>
      <w:r w:rsidRPr="00521442">
        <w:rPr>
          <w:rFonts w:eastAsia="MS Mincho"/>
        </w:rPr>
        <w:t>Since NR sidelink support reliable unicast and groupcast transmissions at the physical layer, transmitting and receiving the HARQ ACK/NACK in an efficient way is crucial. As proposed in section 2.1</w:t>
      </w:r>
      <w:r w:rsidR="00570D76" w:rsidRPr="00521442">
        <w:rPr>
          <w:rFonts w:eastAsia="MS Mincho"/>
        </w:rPr>
        <w:t>.2</w:t>
      </w:r>
      <w:r w:rsidRPr="00521442">
        <w:rPr>
          <w:rFonts w:eastAsia="MS Mincho"/>
        </w:rPr>
        <w:t xml:space="preserve">, PSFCH is defined, and can be mapped to a few OFDM SL symbols (e.g. 1 or 2) at the end of slot to carry SL HARQ-ACK feedback as well as SL </w:t>
      </w:r>
      <w:r w:rsidR="00A42585" w:rsidRPr="00521442">
        <w:rPr>
          <w:rFonts w:eastAsia="MS Mincho"/>
        </w:rPr>
        <w:t xml:space="preserve">CSI report, as shown in </w:t>
      </w:r>
      <w:r w:rsidR="00A42585" w:rsidRPr="00521442">
        <w:rPr>
          <w:rFonts w:eastAsia="MS Mincho"/>
        </w:rPr>
        <w:fldChar w:fldCharType="begin"/>
      </w:r>
      <w:r w:rsidR="00A42585" w:rsidRPr="00521442">
        <w:rPr>
          <w:rFonts w:eastAsia="MS Mincho"/>
        </w:rPr>
        <w:instrText xml:space="preserve"> REF _Ref524077423 \h </w:instrText>
      </w:r>
      <w:r w:rsidR="006C69AA" w:rsidRPr="00521442">
        <w:rPr>
          <w:rFonts w:eastAsia="MS Mincho"/>
        </w:rPr>
        <w:instrText xml:space="preserve"> \* MERGEFORMAT </w:instrText>
      </w:r>
      <w:r w:rsidR="00A42585" w:rsidRPr="00521442">
        <w:rPr>
          <w:rFonts w:eastAsia="MS Mincho"/>
        </w:rPr>
      </w:r>
      <w:r w:rsidR="00A42585" w:rsidRPr="00521442">
        <w:rPr>
          <w:rFonts w:eastAsia="MS Mincho"/>
        </w:rPr>
        <w:fldChar w:fldCharType="separate"/>
      </w:r>
      <w:r w:rsidR="00570D76" w:rsidRPr="00521442">
        <w:t>Figure 3</w:t>
      </w:r>
      <w:r w:rsidR="00A42585" w:rsidRPr="00521442">
        <w:rPr>
          <w:rFonts w:eastAsia="MS Mincho"/>
        </w:rPr>
        <w:fldChar w:fldCharType="end"/>
      </w:r>
      <w:r w:rsidR="00A42585" w:rsidRPr="00521442">
        <w:rPr>
          <w:rFonts w:eastAsia="MS Mincho"/>
        </w:rPr>
        <w:t>, i.e. the SL (Rx) part is used for feedback.</w:t>
      </w:r>
      <w:r w:rsidR="001E24EE" w:rsidRPr="00521442">
        <w:rPr>
          <w:rFonts w:eastAsia="MS Mincho"/>
        </w:rPr>
        <w:t xml:space="preserve"> </w:t>
      </w:r>
      <w:r w:rsidR="002C4B48" w:rsidRPr="00521442">
        <w:rPr>
          <w:rFonts w:eastAsia="MS Mincho"/>
        </w:rPr>
        <w:t>The benefit is that</w:t>
      </w:r>
      <w:r w:rsidR="00272466" w:rsidRPr="00521442">
        <w:rPr>
          <w:rFonts w:eastAsia="MS Mincho"/>
        </w:rPr>
        <w:t xml:space="preserve"> </w:t>
      </w:r>
      <w:r w:rsidR="00A42585" w:rsidRPr="00521442">
        <w:rPr>
          <w:rFonts w:eastAsia="MS Mincho"/>
        </w:rPr>
        <w:t xml:space="preserve">multiplexing of PSSCH/PSFCH in </w:t>
      </w:r>
      <w:r w:rsidR="002A52C4" w:rsidRPr="00521442">
        <w:rPr>
          <w:rFonts w:eastAsia="MS Mincho"/>
        </w:rPr>
        <w:t>a</w:t>
      </w:r>
      <w:r w:rsidR="00272466" w:rsidRPr="00521442">
        <w:rPr>
          <w:rFonts w:eastAsia="MS Mincho"/>
        </w:rPr>
        <w:t xml:space="preserve"> </w:t>
      </w:r>
      <w:r w:rsidR="005F16E0" w:rsidRPr="00521442">
        <w:rPr>
          <w:rFonts w:eastAsia="MS Mincho"/>
        </w:rPr>
        <w:t xml:space="preserve">self-contained </w:t>
      </w:r>
      <w:r w:rsidR="00272466" w:rsidRPr="00521442">
        <w:rPr>
          <w:rFonts w:eastAsia="MS Mincho"/>
        </w:rPr>
        <w:t>slot</w:t>
      </w:r>
      <w:r w:rsidR="00A42585" w:rsidRPr="00521442">
        <w:rPr>
          <w:rFonts w:eastAsia="MS Mincho"/>
        </w:rPr>
        <w:t xml:space="preserve"> </w:t>
      </w:r>
      <w:r w:rsidR="002C4B48" w:rsidRPr="00521442">
        <w:rPr>
          <w:rFonts w:eastAsia="MS Mincho"/>
        </w:rPr>
        <w:t>allow</w:t>
      </w:r>
      <w:r w:rsidR="005F16E0" w:rsidRPr="00521442">
        <w:rPr>
          <w:rFonts w:eastAsia="MS Mincho"/>
        </w:rPr>
        <w:t>s</w:t>
      </w:r>
      <w:r w:rsidR="00A42585" w:rsidRPr="00521442">
        <w:rPr>
          <w:rFonts w:eastAsia="MS Mincho"/>
        </w:rPr>
        <w:t xml:space="preserve"> multiple adaptive retransmission</w:t>
      </w:r>
      <w:r w:rsidR="005F16E0" w:rsidRPr="00521442">
        <w:rPr>
          <w:rFonts w:eastAsia="MS Mincho"/>
        </w:rPr>
        <w:t>s</w:t>
      </w:r>
      <w:r w:rsidR="00A42585" w:rsidRPr="00521442">
        <w:rPr>
          <w:rFonts w:eastAsia="MS Mincho"/>
        </w:rPr>
        <w:t>, if needed</w:t>
      </w:r>
      <w:r w:rsidR="002C4B48" w:rsidRPr="00521442">
        <w:rPr>
          <w:rFonts w:eastAsia="MS Mincho"/>
        </w:rPr>
        <w:t xml:space="preserve">, within </w:t>
      </w:r>
      <w:r w:rsidR="005F16E0" w:rsidRPr="00521442">
        <w:rPr>
          <w:rFonts w:eastAsia="MS Mincho"/>
        </w:rPr>
        <w:t xml:space="preserve">a </w:t>
      </w:r>
      <w:r w:rsidR="002C4B48" w:rsidRPr="00521442">
        <w:rPr>
          <w:rFonts w:eastAsia="MS Mincho"/>
        </w:rPr>
        <w:t xml:space="preserve">latency </w:t>
      </w:r>
      <w:r w:rsidR="005F16E0" w:rsidRPr="00521442">
        <w:rPr>
          <w:rFonts w:eastAsia="MS Mincho"/>
        </w:rPr>
        <w:t>bound</w:t>
      </w:r>
      <w:r w:rsidR="002C4B48" w:rsidRPr="00521442">
        <w:rPr>
          <w:rFonts w:eastAsia="MS Mincho"/>
        </w:rPr>
        <w:t xml:space="preserve">. </w:t>
      </w:r>
      <w:r w:rsidR="00BE5D43" w:rsidRPr="00521442">
        <w:rPr>
          <w:rFonts w:eastAsia="MS Mincho"/>
        </w:rPr>
        <w:t>Having feedback at the end of the slot simplifies the half-duplex constraint and avoids switching time compared to in the middle of the slot, and it is not practical to put feedback at the start of slot n+1 due to the need for AGC time.</w:t>
      </w:r>
    </w:p>
    <w:p w14:paraId="4EE82998" w14:textId="40CDF53C" w:rsidR="00532C6A" w:rsidRPr="00521442" w:rsidRDefault="00532C6A" w:rsidP="000F76B5">
      <w:pPr>
        <w:snapToGrid/>
        <w:rPr>
          <w:rFonts w:eastAsia="MS Mincho"/>
          <w:b/>
          <w:i/>
        </w:rPr>
      </w:pPr>
      <w:r w:rsidRPr="00521442">
        <w:rPr>
          <w:rFonts w:eastAsia="MS Mincho"/>
          <w:b/>
          <w:i/>
        </w:rPr>
        <w:t xml:space="preserve">Proposal </w:t>
      </w:r>
      <w:r w:rsidR="00C21023" w:rsidRPr="00521442">
        <w:rPr>
          <w:rFonts w:eastAsia="MS Mincho"/>
          <w:b/>
          <w:i/>
        </w:rPr>
        <w:t>9</w:t>
      </w:r>
      <w:r w:rsidRPr="00521442">
        <w:rPr>
          <w:rFonts w:eastAsia="MS Mincho"/>
          <w:b/>
          <w:i/>
        </w:rPr>
        <w:t>: Study PSFCH located at the end of SL symbols in a slot.</w:t>
      </w:r>
    </w:p>
    <w:p w14:paraId="3B90915F" w14:textId="77777777" w:rsidR="004E7751" w:rsidRPr="00521442" w:rsidRDefault="004E7751" w:rsidP="000F76B5">
      <w:pPr>
        <w:pStyle w:val="Heading2"/>
        <w:snapToGrid/>
        <w:ind w:left="578" w:hanging="578"/>
        <w:contextualSpacing/>
      </w:pPr>
      <w:r w:rsidRPr="00521442">
        <w:t>Bandwidth part and resource pool</w:t>
      </w:r>
    </w:p>
    <w:p w14:paraId="3425CB98" w14:textId="77777777" w:rsidR="004E7751" w:rsidRPr="00521442" w:rsidRDefault="004E7751" w:rsidP="000F76B5">
      <w:pPr>
        <w:autoSpaceDE/>
        <w:autoSpaceDN/>
        <w:adjustRightInd/>
        <w:snapToGrid/>
        <w:spacing w:after="0"/>
        <w:jc w:val="left"/>
        <w:rPr>
          <w:lang w:eastAsia="zh-CN"/>
        </w:rPr>
      </w:pPr>
      <w:r w:rsidRPr="00521442">
        <w:rPr>
          <w:rFonts w:hint="eastAsia"/>
          <w:lang w:eastAsia="zh-CN"/>
        </w:rPr>
        <w:t xml:space="preserve">It </w:t>
      </w:r>
      <w:r w:rsidRPr="00521442">
        <w:rPr>
          <w:lang w:eastAsia="zh-CN"/>
        </w:rPr>
        <w:t>was</w:t>
      </w:r>
      <w:r w:rsidRPr="00521442">
        <w:rPr>
          <w:rFonts w:hint="eastAsia"/>
          <w:lang w:eastAsia="zh-CN"/>
        </w:rPr>
        <w:t xml:space="preserve"> agreed</w:t>
      </w:r>
      <w:r w:rsidRPr="00521442">
        <w:rPr>
          <w:lang w:eastAsia="zh-CN"/>
        </w:rPr>
        <w:t xml:space="preserve"> in RAN1#9</w:t>
      </w:r>
      <w:r w:rsidR="00143A04" w:rsidRPr="00521442">
        <w:rPr>
          <w:lang w:eastAsia="zh-CN"/>
        </w:rPr>
        <w:t>4</w:t>
      </w:r>
      <w:r w:rsidRPr="00521442">
        <w:rPr>
          <w:rFonts w:hint="eastAsia"/>
          <w:lang w:eastAsia="zh-CN"/>
        </w:rPr>
        <w:t xml:space="preserve"> that</w:t>
      </w:r>
    </w:p>
    <w:p w14:paraId="29005725" w14:textId="77777777" w:rsidR="009D1BEC" w:rsidRPr="00521442" w:rsidRDefault="009D1BEC" w:rsidP="000F76B5">
      <w:pPr>
        <w:pStyle w:val="ListParagraph"/>
        <w:widowControl w:val="0"/>
        <w:numPr>
          <w:ilvl w:val="0"/>
          <w:numId w:val="3"/>
        </w:numPr>
        <w:overflowPunct w:val="0"/>
        <w:snapToGrid/>
        <w:spacing w:before="80" w:after="80"/>
        <w:textAlignment w:val="baseline"/>
        <w:rPr>
          <w:rFonts w:eastAsia="MS Mincho"/>
          <w:i/>
        </w:rPr>
      </w:pPr>
      <w:r w:rsidRPr="00521442">
        <w:rPr>
          <w:rFonts w:eastAsia="MS Mincho"/>
          <w:i/>
        </w:rPr>
        <w:t>NR Uu can assign NR sidelink resources for the following:</w:t>
      </w:r>
    </w:p>
    <w:p w14:paraId="0D1BE084" w14:textId="77777777" w:rsidR="009D1BEC" w:rsidRPr="00521442" w:rsidRDefault="009D1BEC" w:rsidP="000F76B5">
      <w:pPr>
        <w:pStyle w:val="ListParagraph"/>
        <w:widowControl w:val="0"/>
        <w:numPr>
          <w:ilvl w:val="1"/>
          <w:numId w:val="3"/>
        </w:numPr>
        <w:overflowPunct w:val="0"/>
        <w:snapToGrid/>
        <w:spacing w:before="80" w:after="80"/>
        <w:textAlignment w:val="baseline"/>
        <w:rPr>
          <w:rFonts w:eastAsia="MS Mincho"/>
          <w:i/>
        </w:rPr>
      </w:pPr>
      <w:r w:rsidRPr="00521442">
        <w:rPr>
          <w:rFonts w:eastAsia="MS Mincho"/>
          <w:i/>
        </w:rPr>
        <w:t>Shared licensed carrier between Uu and NR sidelink.</w:t>
      </w:r>
    </w:p>
    <w:p w14:paraId="0180D2AB" w14:textId="77777777" w:rsidR="009D1BEC" w:rsidRPr="00521442" w:rsidRDefault="009D1BEC" w:rsidP="000F76B5">
      <w:pPr>
        <w:pStyle w:val="ListParagraph"/>
        <w:widowControl w:val="0"/>
        <w:numPr>
          <w:ilvl w:val="1"/>
          <w:numId w:val="3"/>
        </w:numPr>
        <w:overflowPunct w:val="0"/>
        <w:snapToGrid/>
        <w:spacing w:before="80" w:after="80"/>
        <w:textAlignment w:val="baseline"/>
        <w:rPr>
          <w:rFonts w:eastAsia="MS Mincho"/>
          <w:i/>
        </w:rPr>
      </w:pPr>
      <w:r w:rsidRPr="00521442">
        <w:rPr>
          <w:rFonts w:eastAsia="MS Mincho"/>
          <w:i/>
        </w:rPr>
        <w:lastRenderedPageBreak/>
        <w:t>Dedicated NR sidelink carrier.</w:t>
      </w:r>
    </w:p>
    <w:p w14:paraId="461E8BC4" w14:textId="77777777" w:rsidR="004E7751" w:rsidRPr="00521442" w:rsidRDefault="004E7751" w:rsidP="000F76B5">
      <w:pPr>
        <w:pStyle w:val="ListParagraph"/>
        <w:widowControl w:val="0"/>
        <w:numPr>
          <w:ilvl w:val="0"/>
          <w:numId w:val="3"/>
        </w:numPr>
        <w:overflowPunct w:val="0"/>
        <w:snapToGrid/>
        <w:spacing w:before="80" w:after="80"/>
        <w:textAlignment w:val="baseline"/>
        <w:rPr>
          <w:rFonts w:eastAsia="MS Mincho"/>
          <w:i/>
        </w:rPr>
      </w:pPr>
      <w:r w:rsidRPr="00521442">
        <w:rPr>
          <w:rFonts w:eastAsia="MS Mincho" w:hint="eastAsia"/>
          <w:i/>
        </w:rPr>
        <w:t>RAN1 continues study on the necessity</w:t>
      </w:r>
      <w:r w:rsidRPr="00521442">
        <w:rPr>
          <w:rFonts w:eastAsia="MS Mincho"/>
          <w:i/>
        </w:rPr>
        <w:t>, benefits and relationship between bandwidth</w:t>
      </w:r>
      <w:r w:rsidRPr="00521442">
        <w:rPr>
          <w:rFonts w:eastAsia="MS Mincho" w:hint="eastAsia"/>
          <w:i/>
        </w:rPr>
        <w:t xml:space="preserve"> part and resource pool.</w:t>
      </w:r>
    </w:p>
    <w:p w14:paraId="46B131FD" w14:textId="5967211F" w:rsidR="00B05BF1" w:rsidRPr="00521442" w:rsidRDefault="001040F1" w:rsidP="000F76B5">
      <w:pPr>
        <w:rPr>
          <w:rFonts w:eastAsia="MS Mincho"/>
        </w:rPr>
      </w:pPr>
      <w:r w:rsidRPr="00521442">
        <w:rPr>
          <w:rFonts w:eastAsia="MS Mincho"/>
        </w:rPr>
        <w:t xml:space="preserve">The </w:t>
      </w:r>
      <w:r w:rsidR="00B05BF1" w:rsidRPr="00521442">
        <w:rPr>
          <w:rFonts w:eastAsia="MS Mincho"/>
        </w:rPr>
        <w:t>benefits of SL BWP</w:t>
      </w:r>
      <w:r w:rsidR="005D7303" w:rsidRPr="00521442">
        <w:rPr>
          <w:rFonts w:eastAsia="MS Mincho"/>
        </w:rPr>
        <w:t xml:space="preserve"> </w:t>
      </w:r>
      <w:r w:rsidRPr="00521442">
        <w:rPr>
          <w:rFonts w:eastAsia="MS Mincho"/>
        </w:rPr>
        <w:t>are discussed next</w:t>
      </w:r>
      <w:r w:rsidR="00D4658F" w:rsidRPr="00521442">
        <w:rPr>
          <w:rFonts w:eastAsia="MS Mincho"/>
        </w:rPr>
        <w:t>, and the relationship with resource pools</w:t>
      </w:r>
      <w:r w:rsidR="00B05BF1" w:rsidRPr="00521442">
        <w:rPr>
          <w:rFonts w:eastAsia="MS Mincho"/>
        </w:rPr>
        <w:t xml:space="preserve">. </w:t>
      </w:r>
    </w:p>
    <w:p w14:paraId="7DB2233B" w14:textId="2294436F" w:rsidR="00D4658F" w:rsidRPr="00521442" w:rsidRDefault="00D4658F" w:rsidP="00D4658F">
      <w:pPr>
        <w:pStyle w:val="Heading3"/>
        <w:rPr>
          <w:lang w:eastAsia="zh-CN"/>
        </w:rPr>
      </w:pPr>
      <w:r w:rsidRPr="00521442">
        <w:rPr>
          <w:lang w:eastAsia="zh-CN"/>
        </w:rPr>
        <w:t>BWPs</w:t>
      </w:r>
    </w:p>
    <w:p w14:paraId="1DC3596F" w14:textId="6FE8339A" w:rsidR="007B1BD3" w:rsidRPr="00521442" w:rsidRDefault="00970FCF" w:rsidP="007B1BD3">
      <w:pPr>
        <w:rPr>
          <w:lang w:eastAsia="zh-CN"/>
        </w:rPr>
      </w:pPr>
      <w:r w:rsidRPr="00521442">
        <w:rPr>
          <w:rFonts w:eastAsia="MS Mincho"/>
        </w:rPr>
        <w:t>The concept of a b</w:t>
      </w:r>
      <w:r w:rsidR="007B1BD3" w:rsidRPr="00521442">
        <w:rPr>
          <w:rFonts w:eastAsia="MS Mincho" w:hint="eastAsia"/>
        </w:rPr>
        <w:t xml:space="preserve">andwidth </w:t>
      </w:r>
      <w:r w:rsidRPr="00521442">
        <w:rPr>
          <w:rFonts w:eastAsia="MS Mincho"/>
        </w:rPr>
        <w:t>p</w:t>
      </w:r>
      <w:r w:rsidR="007B1BD3" w:rsidRPr="00521442">
        <w:rPr>
          <w:rFonts w:eastAsia="MS Mincho" w:hint="eastAsia"/>
        </w:rPr>
        <w:t>art</w:t>
      </w:r>
      <w:r w:rsidR="007B1BD3" w:rsidRPr="00521442">
        <w:rPr>
          <w:rFonts w:eastAsia="MS Mincho"/>
        </w:rPr>
        <w:t xml:space="preserve"> (BWP)</w:t>
      </w:r>
      <w:r w:rsidR="007B1BD3" w:rsidRPr="00521442">
        <w:rPr>
          <w:rFonts w:eastAsia="MS Mincho" w:hint="eastAsia"/>
        </w:rPr>
        <w:t xml:space="preserve"> </w:t>
      </w:r>
      <w:r w:rsidR="007B1BD3" w:rsidRPr="00521442">
        <w:rPr>
          <w:rFonts w:eastAsia="MS Mincho"/>
        </w:rPr>
        <w:t>was</w:t>
      </w:r>
      <w:r w:rsidR="007B1BD3" w:rsidRPr="00521442">
        <w:rPr>
          <w:rFonts w:eastAsia="MS Mincho" w:hint="eastAsia"/>
        </w:rPr>
        <w:t xml:space="preserve"> introduced</w:t>
      </w:r>
      <w:r w:rsidR="007B1BD3" w:rsidRPr="00521442">
        <w:rPr>
          <w:rFonts w:eastAsia="MS Mincho"/>
        </w:rPr>
        <w:t xml:space="preserve"> in NR Release 15, where a UE can support up to four BWPs configured by the network and </w:t>
      </w:r>
      <w:r w:rsidR="007B1BD3" w:rsidRPr="00521442">
        <w:rPr>
          <w:rFonts w:eastAsia="MS Mincho" w:hint="eastAsia"/>
        </w:rPr>
        <w:t xml:space="preserve">only </w:t>
      </w:r>
      <w:r w:rsidR="007B1BD3" w:rsidRPr="00521442">
        <w:rPr>
          <w:rFonts w:eastAsia="MS Mincho"/>
        </w:rPr>
        <w:t xml:space="preserve">one DL-BWP and one UL-BWP can be active for a UE. In addition, </w:t>
      </w:r>
      <w:r w:rsidR="007B1BD3" w:rsidRPr="00521442">
        <w:rPr>
          <w:lang w:eastAsia="zh-CN"/>
        </w:rPr>
        <w:t xml:space="preserve">a UE is not expected to transmit </w:t>
      </w:r>
      <w:r w:rsidR="00484B41" w:rsidRPr="00521442">
        <w:rPr>
          <w:lang w:eastAsia="zh-CN"/>
        </w:rPr>
        <w:t xml:space="preserve">or </w:t>
      </w:r>
      <w:r w:rsidR="007B1BD3" w:rsidRPr="00521442">
        <w:rPr>
          <w:lang w:eastAsia="zh-CN"/>
        </w:rPr>
        <w:t xml:space="preserve">receive outside </w:t>
      </w:r>
      <w:r w:rsidR="00484B41" w:rsidRPr="00521442">
        <w:rPr>
          <w:lang w:eastAsia="zh-CN"/>
        </w:rPr>
        <w:t>an</w:t>
      </w:r>
      <w:r w:rsidR="007B1BD3" w:rsidRPr="00521442">
        <w:rPr>
          <w:lang w:eastAsia="zh-CN"/>
        </w:rPr>
        <w:t xml:space="preserve"> active BWP. NR BWP design enables UEs with diverse RF capability to coexist in one carrier</w:t>
      </w:r>
      <w:r w:rsidR="00484B41" w:rsidRPr="00521442">
        <w:rPr>
          <w:lang w:eastAsia="zh-CN"/>
        </w:rPr>
        <w:t>,</w:t>
      </w:r>
      <w:r w:rsidR="007B1BD3" w:rsidRPr="00521442">
        <w:rPr>
          <w:lang w:eastAsia="zh-CN"/>
        </w:rPr>
        <w:t xml:space="preserve"> and </w:t>
      </w:r>
      <w:r w:rsidR="00484B41" w:rsidRPr="00521442">
        <w:rPr>
          <w:lang w:eastAsia="zh-CN"/>
        </w:rPr>
        <w:t xml:space="preserve">aids </w:t>
      </w:r>
      <w:r w:rsidR="007B1BD3" w:rsidRPr="00521442">
        <w:rPr>
          <w:lang w:eastAsia="zh-CN"/>
        </w:rPr>
        <w:t>UE power saving, e.g. the UE could dynamically adjust its operation</w:t>
      </w:r>
      <w:r w:rsidR="00ED7010" w:rsidRPr="00521442">
        <w:rPr>
          <w:lang w:eastAsia="zh-CN"/>
        </w:rPr>
        <w:t>al</w:t>
      </w:r>
      <w:r w:rsidR="007B1BD3" w:rsidRPr="00521442">
        <w:rPr>
          <w:lang w:eastAsia="zh-CN"/>
        </w:rPr>
        <w:t xml:space="preserve"> RF bandwidth via BWP switching.  </w:t>
      </w:r>
    </w:p>
    <w:p w14:paraId="6A4AC360" w14:textId="0CC0A6C8" w:rsidR="007B1BD3" w:rsidRPr="00521442" w:rsidRDefault="007B1BD3" w:rsidP="007B1BD3">
      <w:pPr>
        <w:rPr>
          <w:rFonts w:eastAsia="MS Mincho"/>
          <w:b/>
          <w:i/>
        </w:rPr>
      </w:pPr>
      <w:r w:rsidRPr="00521442">
        <w:rPr>
          <w:rFonts w:eastAsia="MS Mincho"/>
          <w:b/>
          <w:i/>
        </w:rPr>
        <w:t xml:space="preserve">Observation </w:t>
      </w:r>
      <w:r w:rsidR="004B1740" w:rsidRPr="00521442">
        <w:rPr>
          <w:rFonts w:eastAsia="MS Mincho"/>
          <w:b/>
          <w:i/>
        </w:rPr>
        <w:t>4</w:t>
      </w:r>
      <w:r w:rsidRPr="00521442">
        <w:rPr>
          <w:rFonts w:eastAsia="MS Mincho"/>
          <w:b/>
          <w:i/>
        </w:rPr>
        <w:t xml:space="preserve">: One active BWP is associated with one RF chain. For a narrower BWP, a RF chain with smaller bandwidth could be used. </w:t>
      </w:r>
    </w:p>
    <w:p w14:paraId="7DC8DC96" w14:textId="68362C17" w:rsidR="007B1BD3" w:rsidRPr="00521442" w:rsidRDefault="007B1BD3" w:rsidP="00876BD7">
      <w:pPr>
        <w:rPr>
          <w:rFonts w:eastAsia="MS Mincho"/>
        </w:rPr>
      </w:pPr>
      <w:r w:rsidRPr="00521442">
        <w:rPr>
          <w:rFonts w:eastAsia="MS Mincho"/>
        </w:rPr>
        <w:t>In the following discussion, benefits of SL BWP are discussed:</w:t>
      </w:r>
    </w:p>
    <w:p w14:paraId="16D78104" w14:textId="77777777" w:rsidR="00B05BF1" w:rsidRPr="00521442" w:rsidRDefault="00B05BF1" w:rsidP="004410B9">
      <w:pPr>
        <w:rPr>
          <w:rFonts w:eastAsia="MS Mincho"/>
          <w:b/>
          <w:u w:val="single"/>
        </w:rPr>
      </w:pPr>
      <w:r w:rsidRPr="00521442">
        <w:rPr>
          <w:rFonts w:eastAsia="MS Mincho"/>
          <w:b/>
          <w:u w:val="single"/>
        </w:rPr>
        <w:t>(1) Supporting UEs with different SL RF capabilities</w:t>
      </w:r>
    </w:p>
    <w:p w14:paraId="27347FCE" w14:textId="0CF854BB" w:rsidR="007B1BD3" w:rsidRPr="00521442" w:rsidRDefault="007B1BD3" w:rsidP="007B1BD3">
      <w:pPr>
        <w:rPr>
          <w:rFonts w:eastAsia="MS Mincho"/>
        </w:rPr>
      </w:pPr>
      <w:r w:rsidRPr="00521442">
        <w:rPr>
          <w:rFonts w:eastAsia="MS Mincho"/>
        </w:rPr>
        <w:t>In LTE-V2X, maximum 20</w:t>
      </w:r>
      <w:r w:rsidR="00484B41" w:rsidRPr="00521442">
        <w:rPr>
          <w:rFonts w:eastAsia="MS Mincho"/>
        </w:rPr>
        <w:t xml:space="preserve"> </w:t>
      </w:r>
      <w:r w:rsidRPr="00521442">
        <w:rPr>
          <w:rFonts w:eastAsia="MS Mincho"/>
        </w:rPr>
        <w:t>MHz carrier bandwidth/RF bandwidth is defined. In R15 LTE-V2X, carrier aggregation for sidelink is supported. For intra-band contiguous CA, one wideband RF may be used to support the multiple carriers. Therefore, RF capabilities of LTE vehicles may support different bandwidth, e.g. 20</w:t>
      </w:r>
      <w:r w:rsidR="00484B41" w:rsidRPr="00521442">
        <w:rPr>
          <w:rFonts w:eastAsia="MS Mincho"/>
        </w:rPr>
        <w:t xml:space="preserve"> </w:t>
      </w:r>
      <w:r w:rsidRPr="00521442">
        <w:rPr>
          <w:rFonts w:eastAsia="MS Mincho"/>
        </w:rPr>
        <w:t>MHz, 40</w:t>
      </w:r>
      <w:r w:rsidR="00484B41" w:rsidRPr="00521442">
        <w:rPr>
          <w:rFonts w:eastAsia="MS Mincho"/>
        </w:rPr>
        <w:t xml:space="preserve"> </w:t>
      </w:r>
      <w:r w:rsidRPr="00521442">
        <w:rPr>
          <w:rFonts w:eastAsia="MS Mincho"/>
        </w:rPr>
        <w:t>MHz, 60</w:t>
      </w:r>
      <w:r w:rsidR="00484B41" w:rsidRPr="00521442">
        <w:rPr>
          <w:rFonts w:eastAsia="MS Mincho"/>
        </w:rPr>
        <w:t xml:space="preserve"> </w:t>
      </w:r>
      <w:r w:rsidRPr="00521442">
        <w:rPr>
          <w:rFonts w:eastAsia="MS Mincho"/>
        </w:rPr>
        <w:t>MHz, and etc. For R16 NR-V2X, for sidelink transmission in the shared licensed carrier, one RF chain with 20</w:t>
      </w:r>
      <w:r w:rsidR="00484B41" w:rsidRPr="00521442">
        <w:rPr>
          <w:rFonts w:eastAsia="MS Mincho"/>
        </w:rPr>
        <w:t xml:space="preserve"> </w:t>
      </w:r>
      <w:r w:rsidRPr="00521442">
        <w:rPr>
          <w:rFonts w:eastAsia="MS Mincho"/>
        </w:rPr>
        <w:t>MHz/40</w:t>
      </w:r>
      <w:r w:rsidR="00484B41" w:rsidRPr="00521442">
        <w:rPr>
          <w:rFonts w:eastAsia="MS Mincho"/>
        </w:rPr>
        <w:t xml:space="preserve"> </w:t>
      </w:r>
      <w:r w:rsidRPr="00521442">
        <w:rPr>
          <w:rFonts w:eastAsia="MS Mincho"/>
        </w:rPr>
        <w:t>MHz capability is likely to be used to reuse existing LTE RF modules and smooth evolution. For the shared licensed carrier, the maximum carrier bandwidth in sub 6</w:t>
      </w:r>
      <w:r w:rsidR="00407B02" w:rsidRPr="00521442">
        <w:rPr>
          <w:rFonts w:eastAsia="MS Mincho"/>
        </w:rPr>
        <w:t xml:space="preserve"> </w:t>
      </w:r>
      <w:r w:rsidRPr="00521442">
        <w:rPr>
          <w:rFonts w:eastAsia="MS Mincho"/>
        </w:rPr>
        <w:t>GHz is 100</w:t>
      </w:r>
      <w:r w:rsidR="00407B02" w:rsidRPr="00521442">
        <w:rPr>
          <w:rFonts w:eastAsia="MS Mincho"/>
        </w:rPr>
        <w:t xml:space="preserve"> </w:t>
      </w:r>
      <w:r w:rsidRPr="00521442">
        <w:rPr>
          <w:rFonts w:eastAsia="MS Mincho"/>
        </w:rPr>
        <w:t xml:space="preserve">MHz in R15 and may be increased in future. Therefore, SL BWP should be specified in NR V2X to restrict the transmitting/receiving RF BW in the carrier. </w:t>
      </w:r>
    </w:p>
    <w:p w14:paraId="2417C2BA" w14:textId="77777777" w:rsidR="007B1BD3" w:rsidRPr="00521442" w:rsidRDefault="007B1BD3" w:rsidP="007B1BD3">
      <w:pPr>
        <w:keepNext/>
        <w:jc w:val="center"/>
      </w:pPr>
      <w:r w:rsidRPr="00521442">
        <w:rPr>
          <w:noProof/>
        </w:rPr>
        <w:drawing>
          <wp:inline distT="0" distB="0" distL="0" distR="0" wp14:anchorId="1F3A031E" wp14:editId="0A390CC6">
            <wp:extent cx="4373053" cy="944961"/>
            <wp:effectExtent l="0" t="0" r="889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1429" cy="946771"/>
                    </a:xfrm>
                    <a:prstGeom prst="rect">
                      <a:avLst/>
                    </a:prstGeom>
                    <a:noFill/>
                    <a:ln>
                      <a:noFill/>
                    </a:ln>
                  </pic:spPr>
                </pic:pic>
              </a:graphicData>
            </a:graphic>
          </wp:inline>
        </w:drawing>
      </w:r>
    </w:p>
    <w:p w14:paraId="3E961896" w14:textId="55CAEC32" w:rsidR="007B1BD3" w:rsidRPr="00521442" w:rsidRDefault="00B0244F" w:rsidP="00B06B91">
      <w:pPr>
        <w:pStyle w:val="Caption"/>
        <w:rPr>
          <w:rFonts w:eastAsia="MS Mincho"/>
        </w:rPr>
      </w:pPr>
      <w:r w:rsidRPr="00521442">
        <w:t xml:space="preserve">Figure </w:t>
      </w:r>
      <w:fldSimple w:instr=" SEQ Figure \* ARABIC ">
        <w:r w:rsidR="006F7DE5" w:rsidRPr="00521442">
          <w:t>7</w:t>
        </w:r>
      </w:fldSimple>
      <w:r w:rsidRPr="00521442">
        <w:t xml:space="preserve">. </w:t>
      </w:r>
      <w:r w:rsidR="007B1BD3" w:rsidRPr="00521442">
        <w:t>SL BWP in one carrier</w:t>
      </w:r>
    </w:p>
    <w:p w14:paraId="34701696" w14:textId="77777777" w:rsidR="00B05BF1" w:rsidRPr="00521442" w:rsidRDefault="00B05BF1" w:rsidP="004410B9">
      <w:pPr>
        <w:rPr>
          <w:rFonts w:eastAsia="MS Mincho"/>
          <w:b/>
          <w:u w:val="single"/>
        </w:rPr>
      </w:pPr>
      <w:r w:rsidRPr="00521442">
        <w:rPr>
          <w:rFonts w:eastAsia="MS Mincho"/>
          <w:b/>
          <w:u w:val="single"/>
        </w:rPr>
        <w:t xml:space="preserve">(2) Supporting coexistence of Uu and SL transmission in shared </w:t>
      </w:r>
      <w:r w:rsidRPr="00521442">
        <w:rPr>
          <w:b/>
          <w:szCs w:val="20"/>
          <w:u w:val="single"/>
        </w:rPr>
        <w:t>licensed carrier</w:t>
      </w:r>
    </w:p>
    <w:p w14:paraId="4B1F44C5" w14:textId="2C2540B2" w:rsidR="00B05BF1" w:rsidRPr="00521442" w:rsidRDefault="00B05BF1" w:rsidP="000F76B5">
      <w:pPr>
        <w:rPr>
          <w:rFonts w:eastAsia="MS Mincho"/>
        </w:rPr>
      </w:pPr>
      <w:r w:rsidRPr="00521442">
        <w:rPr>
          <w:rFonts w:eastAsia="MS Mincho"/>
        </w:rPr>
        <w:t>For the shared carrier case, where the SL resources are located in the UL carrier, SL transmission (reception) will be confined within active BWP(s). In addition, since</w:t>
      </w:r>
      <w:r w:rsidRPr="00521442">
        <w:rPr>
          <w:color w:val="000000"/>
          <w:lang w:eastAsia="zh-CN"/>
        </w:rPr>
        <w:t xml:space="preserve"> </w:t>
      </w:r>
      <w:r w:rsidRPr="00521442">
        <w:rPr>
          <w:rFonts w:eastAsia="MS Mincho"/>
        </w:rPr>
        <w:t xml:space="preserve">Uu and sidelink transmissions are different in terms of channel characteristics, Doppler spectrum, etc., the system must be flexible enough so that the Uu and SL BWPs can be different. </w:t>
      </w:r>
      <w:r w:rsidRPr="00521442">
        <w:rPr>
          <w:rFonts w:eastAsia="MS Mincho" w:hint="eastAsia"/>
        </w:rPr>
        <w:t xml:space="preserve">NR may also </w:t>
      </w:r>
      <w:r w:rsidRPr="00521442">
        <w:rPr>
          <w:rFonts w:eastAsia="MS Mincho"/>
        </w:rPr>
        <w:t>support</w:t>
      </w:r>
      <w:r w:rsidRPr="00521442">
        <w:rPr>
          <w:rFonts w:eastAsia="MS Mincho" w:hint="eastAsia"/>
        </w:rPr>
        <w:t xml:space="preserve"> </w:t>
      </w:r>
      <w:r w:rsidRPr="00521442">
        <w:rPr>
          <w:rFonts w:eastAsia="MS Mincho"/>
        </w:rPr>
        <w:t>joint transmission of Uu and sidelink signals taken into</w:t>
      </w:r>
      <w:r w:rsidR="001841E7" w:rsidRPr="00521442">
        <w:rPr>
          <w:rFonts w:eastAsia="MS Mincho"/>
        </w:rPr>
        <w:t xml:space="preserve"> account</w:t>
      </w:r>
      <w:r w:rsidRPr="00521442">
        <w:rPr>
          <w:rFonts w:eastAsia="MS Mincho"/>
        </w:rPr>
        <w:t xml:space="preserve"> latency requirement</w:t>
      </w:r>
      <w:r w:rsidR="001841E7" w:rsidRPr="00521442">
        <w:rPr>
          <w:rFonts w:eastAsia="MS Mincho"/>
        </w:rPr>
        <w:t>s</w:t>
      </w:r>
      <w:r w:rsidRPr="00521442">
        <w:rPr>
          <w:rFonts w:eastAsia="MS Mincho"/>
        </w:rPr>
        <w:t xml:space="preserve"> for both Uu and SL, for instance, the UE may send both a PUCCH for Uu and a SL PSCCH/PSSCH at the same</w:t>
      </w:r>
      <w:r w:rsidR="007B1BD3" w:rsidRPr="00521442">
        <w:rPr>
          <w:rFonts w:eastAsia="MS Mincho"/>
        </w:rPr>
        <w:t xml:space="preserve"> time</w:t>
      </w:r>
      <w:r w:rsidRPr="00521442">
        <w:rPr>
          <w:rFonts w:eastAsia="MS Mincho"/>
        </w:rPr>
        <w:t>, and possibly with different numerologies.</w:t>
      </w:r>
    </w:p>
    <w:p w14:paraId="720D71E4" w14:textId="3CE836AD" w:rsidR="008B2C45" w:rsidRPr="00521442" w:rsidRDefault="008B2C45" w:rsidP="004410B9">
      <w:pPr>
        <w:rPr>
          <w:rFonts w:eastAsia="MS Mincho"/>
        </w:rPr>
      </w:pPr>
      <w:bookmarkStart w:id="14" w:name="_Ref523991861"/>
      <w:bookmarkStart w:id="15" w:name="_Ref524963660"/>
      <w:r w:rsidRPr="00521442">
        <w:rPr>
          <w:lang w:eastAsia="ja-JP"/>
        </w:rPr>
        <w:t xml:space="preserve">For SL transmission, separate Tx chains and shared Tx chains between UL and SL Tx were discussed in LTE V2X. In NR V2X, </w:t>
      </w:r>
      <w:r w:rsidRPr="00521442">
        <w:rPr>
          <w:rFonts w:eastAsia="MS Mincho"/>
        </w:rPr>
        <w:t>as shown in</w:t>
      </w:r>
      <w:r w:rsidR="001841E7" w:rsidRPr="00521442">
        <w:rPr>
          <w:rFonts w:eastAsia="MS Mincho"/>
        </w:rPr>
        <w:t xml:space="preserve"> Figure 8</w:t>
      </w:r>
      <w:r w:rsidRPr="00521442">
        <w:rPr>
          <w:rFonts w:eastAsia="MS Mincho"/>
        </w:rPr>
        <w:t>, the following three cases of RF capability for SL in the shared licensed carrier and dedicated NR carrier should be studied</w:t>
      </w:r>
      <w:r w:rsidR="006F7DE5" w:rsidRPr="00521442">
        <w:rPr>
          <w:rFonts w:eastAsia="MS Mincho"/>
        </w:rPr>
        <w:t xml:space="preserve">, as illustrated in </w:t>
      </w:r>
      <w:r w:rsidR="006F7DE5" w:rsidRPr="00521442">
        <w:rPr>
          <w:rFonts w:eastAsia="MS Mincho"/>
        </w:rPr>
        <w:fldChar w:fldCharType="begin"/>
      </w:r>
      <w:r w:rsidR="006F7DE5" w:rsidRPr="00521442">
        <w:rPr>
          <w:rFonts w:eastAsia="MS Mincho"/>
        </w:rPr>
        <w:instrText xml:space="preserve"> REF _Ref525922417 \h </w:instrText>
      </w:r>
      <w:r w:rsidR="006F7DE5" w:rsidRPr="00521442">
        <w:rPr>
          <w:rFonts w:eastAsia="MS Mincho"/>
        </w:rPr>
      </w:r>
      <w:r w:rsidR="006F7DE5" w:rsidRPr="00521442">
        <w:rPr>
          <w:rFonts w:eastAsia="MS Mincho"/>
        </w:rPr>
        <w:fldChar w:fldCharType="separate"/>
      </w:r>
      <w:r w:rsidR="006F7DE5" w:rsidRPr="00521442">
        <w:t>Figure 8</w:t>
      </w:r>
      <w:r w:rsidR="006F7DE5" w:rsidRPr="00521442">
        <w:rPr>
          <w:rFonts w:eastAsia="MS Mincho"/>
        </w:rPr>
        <w:fldChar w:fldCharType="end"/>
      </w:r>
      <w:r w:rsidR="006F7DE5" w:rsidRPr="00521442">
        <w:rPr>
          <w:rFonts w:eastAsia="MS Mincho"/>
        </w:rPr>
        <w:t>.</w:t>
      </w:r>
    </w:p>
    <w:p w14:paraId="08D7320A" w14:textId="77777777" w:rsidR="008B2C45" w:rsidRPr="00521442" w:rsidRDefault="008B2C45" w:rsidP="004410B9">
      <w:pPr>
        <w:numPr>
          <w:ilvl w:val="2"/>
          <w:numId w:val="4"/>
        </w:numPr>
        <w:autoSpaceDE/>
        <w:autoSpaceDN/>
        <w:adjustRightInd/>
        <w:snapToGrid/>
        <w:spacing w:after="0"/>
        <w:ind w:leftChars="210" w:left="882"/>
        <w:contextualSpacing/>
        <w:rPr>
          <w:rFonts w:eastAsia="MS Mincho"/>
        </w:rPr>
      </w:pPr>
      <w:r w:rsidRPr="00521442">
        <w:rPr>
          <w:rFonts w:eastAsia="MS Mincho"/>
        </w:rPr>
        <w:t>Case 1: UL Tx and SL Tx share one Tx RF chain in a shared licensed carrier</w:t>
      </w:r>
    </w:p>
    <w:p w14:paraId="42A76700" w14:textId="77777777" w:rsidR="008B2C45" w:rsidRPr="00521442" w:rsidRDefault="008B2C45" w:rsidP="004410B9">
      <w:pPr>
        <w:numPr>
          <w:ilvl w:val="2"/>
          <w:numId w:val="4"/>
        </w:numPr>
        <w:autoSpaceDE/>
        <w:autoSpaceDN/>
        <w:adjustRightInd/>
        <w:snapToGrid/>
        <w:spacing w:after="0"/>
        <w:ind w:leftChars="210" w:left="882"/>
        <w:contextualSpacing/>
        <w:rPr>
          <w:rFonts w:eastAsia="MS Mincho"/>
        </w:rPr>
      </w:pPr>
      <w:r w:rsidRPr="00521442">
        <w:rPr>
          <w:rFonts w:eastAsia="MS Mincho"/>
        </w:rPr>
        <w:t>Case 2: UL Tx and SL Tx use separate Tx RF chain in a dedicated licensed carrier</w:t>
      </w:r>
    </w:p>
    <w:p w14:paraId="75D17FE9" w14:textId="77777777" w:rsidR="007B1BD3" w:rsidRPr="00521442" w:rsidRDefault="008B2C45" w:rsidP="00876BD7">
      <w:pPr>
        <w:numPr>
          <w:ilvl w:val="2"/>
          <w:numId w:val="4"/>
        </w:numPr>
        <w:autoSpaceDE/>
        <w:autoSpaceDN/>
        <w:adjustRightInd/>
        <w:snapToGrid/>
        <w:spacing w:after="0"/>
        <w:ind w:leftChars="210" w:left="882"/>
        <w:contextualSpacing/>
        <w:rPr>
          <w:rFonts w:eastAsia="MS Mincho"/>
        </w:rPr>
      </w:pPr>
      <w:r w:rsidRPr="00521442">
        <w:rPr>
          <w:rFonts w:eastAsia="MS Mincho"/>
        </w:rPr>
        <w:t>Case 3: UL Tx and SL Tx use separate Tx RF chain in different carrier</w:t>
      </w:r>
      <w:r w:rsidR="005D7303" w:rsidRPr="00521442">
        <w:rPr>
          <w:rFonts w:eastAsia="MS Mincho" w:hint="eastAsia"/>
          <w:lang w:eastAsia="ja-JP"/>
        </w:rPr>
        <w:t>.</w:t>
      </w:r>
    </w:p>
    <w:p w14:paraId="1F7F086C" w14:textId="4E5B09AE" w:rsidR="007B1BD3" w:rsidRPr="00521442" w:rsidRDefault="007B1BD3" w:rsidP="00876BD7">
      <w:pPr>
        <w:rPr>
          <w:rFonts w:eastAsia="MS Mincho"/>
        </w:rPr>
      </w:pPr>
      <w:r w:rsidRPr="00521442">
        <w:rPr>
          <w:lang w:eastAsia="ja-JP"/>
        </w:rPr>
        <w:t xml:space="preserve">For Case 1, for simultaneous transmission of UL and SL, UL BWP and SL BWP should be configured within the bandwidth of the shared RF chain, one easy approach is configuration SL </w:t>
      </w:r>
      <w:r w:rsidR="00FF7B93" w:rsidRPr="00521442">
        <w:rPr>
          <w:lang w:eastAsia="ja-JP"/>
        </w:rPr>
        <w:t>BWP within the UL BWP; for TDM</w:t>
      </w:r>
      <w:r w:rsidRPr="00521442">
        <w:rPr>
          <w:lang w:eastAsia="ja-JP"/>
        </w:rPr>
        <w:t xml:space="preserve"> transmission of UL and SL, location of UL BWP and SL BWP could be flexibly configured, but the switching delay between UL BWP and SL BWP should be considered. For Case 2 and </w:t>
      </w:r>
      <w:r w:rsidRPr="00521442">
        <w:rPr>
          <w:rFonts w:eastAsia="MS Mincho"/>
        </w:rPr>
        <w:t>Case 3, UL BWP and SL BWP can be independently configured.</w:t>
      </w:r>
    </w:p>
    <w:p w14:paraId="0C205552" w14:textId="77777777" w:rsidR="007B1BD3" w:rsidRPr="00521442" w:rsidRDefault="007B1BD3" w:rsidP="00876BD7">
      <w:pPr>
        <w:rPr>
          <w:lang w:eastAsia="ja-JP"/>
        </w:rPr>
      </w:pPr>
      <w:r w:rsidRPr="00521442">
        <w:rPr>
          <w:rFonts w:eastAsia="MS Mincho"/>
        </w:rPr>
        <w:lastRenderedPageBreak/>
        <w:t>For SL reception, in LTE, as a minimum requirement, the UE is required to have one Rx chain for PC5-</w:t>
      </w:r>
      <w:r w:rsidRPr="00521442">
        <w:t xml:space="preserve">based V2X in addition to one for Uu reception. NR UEs can take this Rx capability as a baseline, then NR SL UEs can </w:t>
      </w:r>
      <w:r w:rsidRPr="00521442">
        <w:rPr>
          <w:lang w:eastAsia="ja-JP"/>
        </w:rPr>
        <w:t>simultaneously</w:t>
      </w:r>
      <w:r w:rsidRPr="00521442">
        <w:t xml:space="preserve"> receive in the DL BWP and SL BWP.</w:t>
      </w:r>
    </w:p>
    <w:p w14:paraId="259D47EA" w14:textId="11E1CADA" w:rsidR="008B2C45" w:rsidRPr="00521442" w:rsidRDefault="007B1BD3" w:rsidP="000F76B5">
      <w:pPr>
        <w:rPr>
          <w:rFonts w:eastAsia="MS Mincho"/>
        </w:rPr>
      </w:pPr>
      <w:r w:rsidRPr="00521442">
        <w:rPr>
          <w:rFonts w:eastAsia="MS Mincho"/>
        </w:rPr>
        <w:t>Furthermore, NR V2X SID strives for a common sidelink design for licensed shared carrier and dedicated carrier, so SL BWP should be also defined in dedicated SL carrier.</w:t>
      </w:r>
    </w:p>
    <w:p w14:paraId="1DDCA344" w14:textId="77777777" w:rsidR="008B2C45" w:rsidRPr="00521442" w:rsidRDefault="008B2C45" w:rsidP="004410B9">
      <w:pPr>
        <w:keepNext/>
        <w:snapToGrid/>
        <w:contextualSpacing/>
        <w:jc w:val="center"/>
      </w:pPr>
      <w:r w:rsidRPr="00521442">
        <w:rPr>
          <w:noProof/>
        </w:rPr>
        <w:drawing>
          <wp:inline distT="0" distB="0" distL="0" distR="0" wp14:anchorId="5010F45E" wp14:editId="50471016">
            <wp:extent cx="3058522" cy="3648974"/>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3374" cy="3690554"/>
                    </a:xfrm>
                    <a:prstGeom prst="rect">
                      <a:avLst/>
                    </a:prstGeom>
                    <a:noFill/>
                    <a:ln>
                      <a:noFill/>
                    </a:ln>
                  </pic:spPr>
                </pic:pic>
              </a:graphicData>
            </a:graphic>
          </wp:inline>
        </w:drawing>
      </w:r>
    </w:p>
    <w:p w14:paraId="444A4BA1" w14:textId="37131BE8" w:rsidR="00B05BF1" w:rsidRPr="00521442" w:rsidRDefault="00B05BF1" w:rsidP="000F76B5">
      <w:pPr>
        <w:pStyle w:val="Caption"/>
        <w:rPr>
          <w:rFonts w:eastAsia="MS Mincho"/>
        </w:rPr>
      </w:pPr>
      <w:bookmarkStart w:id="16" w:name="_Ref525922417"/>
      <w:r w:rsidRPr="00521442">
        <w:t xml:space="preserve">Figure </w:t>
      </w:r>
      <w:fldSimple w:instr=" SEQ Figure \* ARABIC ">
        <w:r w:rsidR="006F7DE5" w:rsidRPr="00521442">
          <w:t>8</w:t>
        </w:r>
      </w:fldSimple>
      <w:bookmarkStart w:id="17" w:name="_Ref523991704"/>
      <w:bookmarkEnd w:id="14"/>
      <w:bookmarkEnd w:id="16"/>
      <w:r w:rsidRPr="00521442">
        <w:rPr>
          <w:rFonts w:hint="eastAsia"/>
          <w:lang w:eastAsia="zh-CN"/>
        </w:rPr>
        <w:t xml:space="preserve">. </w:t>
      </w:r>
      <w:bookmarkStart w:id="18" w:name="_Ref525663835"/>
      <w:r w:rsidRPr="00521442">
        <w:t xml:space="preserve">SL configuration </w:t>
      </w:r>
      <w:bookmarkEnd w:id="15"/>
      <w:bookmarkEnd w:id="17"/>
      <w:r w:rsidRPr="00521442">
        <w:t>and UL/SL Tx chain</w:t>
      </w:r>
      <w:bookmarkEnd w:id="18"/>
    </w:p>
    <w:p w14:paraId="71444696" w14:textId="77777777" w:rsidR="00B05BF1" w:rsidRPr="00521442" w:rsidRDefault="00B05BF1" w:rsidP="004410B9">
      <w:pPr>
        <w:rPr>
          <w:rFonts w:eastAsia="MS Mincho"/>
          <w:b/>
          <w:u w:val="single"/>
        </w:rPr>
      </w:pPr>
      <w:r w:rsidRPr="00521442">
        <w:rPr>
          <w:rFonts w:eastAsia="MS Mincho"/>
          <w:b/>
          <w:u w:val="single"/>
        </w:rPr>
        <w:t>(3) Supporting flexible sidelink numerology</w:t>
      </w:r>
    </w:p>
    <w:p w14:paraId="4BAF6B09" w14:textId="52EE0112" w:rsidR="009E2E09" w:rsidRPr="00521442" w:rsidRDefault="009E2E09" w:rsidP="009E2E09">
      <w:pPr>
        <w:rPr>
          <w:rFonts w:eastAsia="MS Mincho"/>
        </w:rPr>
      </w:pPr>
      <w:r w:rsidRPr="00521442">
        <w:rPr>
          <w:rFonts w:eastAsia="MS Mincho"/>
        </w:rPr>
        <w:t xml:space="preserve">NR Uu supports configurable numerologies with different subcarrier spacings. One benefit of the BWP is that it enables multiplexing of different numerologies. Since there is a very diverse set of traffic types for NR V2X, the UE may support multiple services simultaneously. In addition, some UEs may be traveling at low speeds, where a 15 kHz subcarrier spacing works well, whereas other UEs at high speeds would benefit from a larger subcarrier spacing [5]. </w:t>
      </w:r>
      <w:r w:rsidR="00097FB7" w:rsidRPr="00521442">
        <w:rPr>
          <w:rFonts w:eastAsia="MS Mincho"/>
        </w:rPr>
        <w:t>In addition, the V2X services have a wide variety of ranges, from a few meters to over 1000m. This puts constraints on the CP, as explained in Section</w:t>
      </w:r>
      <w:r w:rsidR="009B7910" w:rsidRPr="00521442">
        <w:rPr>
          <w:rFonts w:eastAsia="MS Mincho"/>
        </w:rPr>
        <w:t xml:space="preserve"> 2.3</w:t>
      </w:r>
      <w:r w:rsidR="00097FB7" w:rsidRPr="00521442">
        <w:rPr>
          <w:rFonts w:eastAsia="MS Mincho"/>
        </w:rPr>
        <w:t>. For instance, a 60</w:t>
      </w:r>
      <w:r w:rsidR="001B682D" w:rsidRPr="00521442">
        <w:rPr>
          <w:rFonts w:eastAsia="MS Mincho"/>
        </w:rPr>
        <w:t xml:space="preserve"> </w:t>
      </w:r>
      <w:r w:rsidR="00097FB7" w:rsidRPr="00521442">
        <w:rPr>
          <w:rFonts w:eastAsia="MS Mincho"/>
        </w:rPr>
        <w:t>kHz normal CP only enables a maximum range of 351m, whereas a 15kHz normal CP numerology enables a range over 1km.</w:t>
      </w:r>
    </w:p>
    <w:p w14:paraId="23AA2465" w14:textId="77777777" w:rsidR="009E2E09" w:rsidRPr="00521442" w:rsidRDefault="009E2E09" w:rsidP="009E2E09">
      <w:pPr>
        <w:keepNext/>
        <w:jc w:val="center"/>
      </w:pPr>
      <w:r w:rsidRPr="00521442">
        <w:rPr>
          <w:noProof/>
        </w:rPr>
        <w:drawing>
          <wp:inline distT="0" distB="0" distL="0" distR="0" wp14:anchorId="0FBC5E2F" wp14:editId="4875E79F">
            <wp:extent cx="4694555" cy="10312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94555" cy="1031240"/>
                    </a:xfrm>
                    <a:prstGeom prst="rect">
                      <a:avLst/>
                    </a:prstGeom>
                    <a:noFill/>
                    <a:ln>
                      <a:noFill/>
                    </a:ln>
                  </pic:spPr>
                </pic:pic>
              </a:graphicData>
            </a:graphic>
          </wp:inline>
        </w:drawing>
      </w:r>
    </w:p>
    <w:p w14:paraId="5142EE4A" w14:textId="095E1D9E" w:rsidR="009E2E09" w:rsidRPr="00521442" w:rsidRDefault="00B06B91" w:rsidP="00B06B91">
      <w:pPr>
        <w:pStyle w:val="Caption"/>
        <w:rPr>
          <w:rFonts w:eastAsia="MS Mincho"/>
        </w:rPr>
      </w:pPr>
      <w:r w:rsidRPr="00521442">
        <w:t xml:space="preserve">Figure </w:t>
      </w:r>
      <w:fldSimple w:instr=" SEQ Figure \* ARABIC ">
        <w:r w:rsidR="006F7DE5" w:rsidRPr="00521442">
          <w:t>9</w:t>
        </w:r>
      </w:fldSimple>
      <w:r w:rsidRPr="00521442">
        <w:t xml:space="preserve">. </w:t>
      </w:r>
      <w:r w:rsidR="009E2E09" w:rsidRPr="00521442">
        <w:t>Flexible numerology configuration for SL BWPs</w:t>
      </w:r>
    </w:p>
    <w:p w14:paraId="4B13CA8D" w14:textId="77777777" w:rsidR="00B05BF1" w:rsidRPr="00521442" w:rsidRDefault="00B05BF1" w:rsidP="004410B9">
      <w:pPr>
        <w:rPr>
          <w:rFonts w:eastAsia="MS Mincho"/>
          <w:b/>
          <w:u w:val="single"/>
        </w:rPr>
      </w:pPr>
      <w:r w:rsidRPr="00521442">
        <w:rPr>
          <w:rFonts w:eastAsia="MS Mincho"/>
          <w:b/>
          <w:u w:val="single"/>
        </w:rPr>
        <w:t>(4) Supporting SL UE power saving</w:t>
      </w:r>
    </w:p>
    <w:p w14:paraId="514E4E00" w14:textId="4D651211" w:rsidR="00B05BF1" w:rsidRPr="00521442" w:rsidRDefault="00B05BF1" w:rsidP="000F76B5">
      <w:pPr>
        <w:rPr>
          <w:rFonts w:eastAsia="MS Mincho"/>
        </w:rPr>
      </w:pPr>
      <w:r w:rsidRPr="00521442">
        <w:rPr>
          <w:rFonts w:eastAsia="MS Mincho"/>
        </w:rPr>
        <w:t xml:space="preserve">For NR V2X, frequency-domain mechanisms, e.g. dynamic SL BWP switching to adjust SL RF bandwidth, could be considered to reduce UE power consumption, </w:t>
      </w:r>
      <w:r w:rsidR="00E07EF2" w:rsidRPr="00521442">
        <w:rPr>
          <w:rFonts w:eastAsia="MS Mincho"/>
        </w:rPr>
        <w:t>which is particularly relevant</w:t>
      </w:r>
      <w:r w:rsidRPr="00521442">
        <w:rPr>
          <w:rFonts w:eastAsia="MS Mincho"/>
        </w:rPr>
        <w:t xml:space="preserve"> for </w:t>
      </w:r>
      <w:r w:rsidR="00E07EF2" w:rsidRPr="00521442">
        <w:rPr>
          <w:rFonts w:eastAsia="MS Mincho"/>
        </w:rPr>
        <w:t>p</w:t>
      </w:r>
      <w:r w:rsidRPr="00521442">
        <w:rPr>
          <w:rFonts w:eastAsia="MS Mincho"/>
        </w:rPr>
        <w:t>edestrian UE</w:t>
      </w:r>
      <w:r w:rsidR="00E07EF2" w:rsidRPr="00521442">
        <w:rPr>
          <w:rFonts w:eastAsia="MS Mincho"/>
        </w:rPr>
        <w:t xml:space="preserve"> design</w:t>
      </w:r>
      <w:r w:rsidRPr="00521442">
        <w:rPr>
          <w:rFonts w:eastAsia="MS Mincho"/>
        </w:rPr>
        <w:t xml:space="preserve">. </w:t>
      </w:r>
    </w:p>
    <w:p w14:paraId="44133A7B" w14:textId="7AA2EE5E" w:rsidR="00B05BF1" w:rsidRPr="00521442" w:rsidRDefault="00B05BF1" w:rsidP="004410B9">
      <w:pPr>
        <w:rPr>
          <w:rFonts w:eastAsia="MS Mincho"/>
          <w:b/>
          <w:i/>
        </w:rPr>
      </w:pPr>
      <w:r w:rsidRPr="00521442">
        <w:rPr>
          <w:rFonts w:eastAsia="MS Mincho"/>
          <w:b/>
          <w:i/>
        </w:rPr>
        <w:t xml:space="preserve">Observation </w:t>
      </w:r>
      <w:r w:rsidR="004B1740" w:rsidRPr="00521442">
        <w:rPr>
          <w:rFonts w:eastAsia="MS Mincho"/>
          <w:b/>
          <w:i/>
        </w:rPr>
        <w:t>5</w:t>
      </w:r>
      <w:r w:rsidRPr="00521442">
        <w:rPr>
          <w:rFonts w:eastAsia="MS Mincho"/>
          <w:b/>
          <w:i/>
        </w:rPr>
        <w:t>: Benefits of sidelink bandwidth part include:</w:t>
      </w:r>
    </w:p>
    <w:p w14:paraId="30B74A6A" w14:textId="77777777" w:rsidR="00B05BF1" w:rsidRPr="00521442" w:rsidRDefault="00B05BF1" w:rsidP="000F76B5">
      <w:pPr>
        <w:numPr>
          <w:ilvl w:val="2"/>
          <w:numId w:val="4"/>
        </w:numPr>
        <w:autoSpaceDE/>
        <w:autoSpaceDN/>
        <w:adjustRightInd/>
        <w:snapToGrid/>
        <w:spacing w:after="0"/>
        <w:ind w:leftChars="210" w:left="882"/>
        <w:contextualSpacing/>
        <w:rPr>
          <w:rFonts w:eastAsia="MS Mincho"/>
          <w:b/>
          <w:i/>
        </w:rPr>
      </w:pPr>
      <w:r w:rsidRPr="00521442">
        <w:rPr>
          <w:rFonts w:eastAsia="MS Mincho"/>
          <w:b/>
          <w:i/>
        </w:rPr>
        <w:lastRenderedPageBreak/>
        <w:t>Supporting UEs with different SL RF capabilities</w:t>
      </w:r>
    </w:p>
    <w:p w14:paraId="02AE9429" w14:textId="77777777" w:rsidR="00B05BF1" w:rsidRPr="00521442" w:rsidRDefault="00B05BF1" w:rsidP="000F76B5">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coexistence of Uu and SL transmission in shared licensed carrier</w:t>
      </w:r>
    </w:p>
    <w:p w14:paraId="7E769F97" w14:textId="77777777" w:rsidR="00B05BF1" w:rsidRPr="00521442" w:rsidRDefault="00B05BF1" w:rsidP="000F76B5">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flexible sidelink numerology</w:t>
      </w:r>
    </w:p>
    <w:p w14:paraId="27D554A0" w14:textId="1DB9C10A" w:rsidR="00B05BF1" w:rsidRPr="00521442" w:rsidRDefault="00B05BF1" w:rsidP="00876BD7">
      <w:pPr>
        <w:numPr>
          <w:ilvl w:val="2"/>
          <w:numId w:val="4"/>
        </w:numPr>
        <w:autoSpaceDE/>
        <w:autoSpaceDN/>
        <w:adjustRightInd/>
        <w:spacing w:after="0"/>
        <w:ind w:leftChars="210" w:left="882"/>
        <w:rPr>
          <w:rFonts w:eastAsia="MS Mincho"/>
          <w:b/>
          <w:i/>
        </w:rPr>
      </w:pPr>
      <w:r w:rsidRPr="00521442">
        <w:rPr>
          <w:rFonts w:eastAsia="MS Mincho"/>
          <w:b/>
          <w:i/>
        </w:rPr>
        <w:t>Supporting SL UE power saving</w:t>
      </w:r>
      <w:r w:rsidR="001320F9" w:rsidRPr="00521442">
        <w:rPr>
          <w:rFonts w:eastAsia="MS Mincho"/>
          <w:b/>
          <w:i/>
        </w:rPr>
        <w:t>, particularly for pedestrian UEs</w:t>
      </w:r>
    </w:p>
    <w:p w14:paraId="3A2FCEE2" w14:textId="1F8FF28F" w:rsidR="004E7751" w:rsidRPr="00521442" w:rsidRDefault="004E7751">
      <w:pPr>
        <w:rPr>
          <w:rFonts w:eastAsia="MS Mincho"/>
          <w:b/>
          <w:i/>
        </w:rPr>
      </w:pPr>
      <w:r w:rsidRPr="00521442">
        <w:rPr>
          <w:rFonts w:eastAsia="MS Mincho"/>
          <w:b/>
          <w:i/>
        </w:rPr>
        <w:t xml:space="preserve">Proposal </w:t>
      </w:r>
      <w:r w:rsidR="00C21023" w:rsidRPr="00521442">
        <w:rPr>
          <w:rFonts w:eastAsia="MS Mincho"/>
          <w:b/>
          <w:i/>
        </w:rPr>
        <w:t>10</w:t>
      </w:r>
      <w:r w:rsidRPr="00521442">
        <w:rPr>
          <w:rFonts w:eastAsia="MS Mincho"/>
          <w:b/>
          <w:i/>
        </w:rPr>
        <w:t xml:space="preserve">: The Uu BWP concept is reused for the sidelink, with sidelink transmission/reception occurring within a SL-BWP. </w:t>
      </w:r>
      <w:r w:rsidR="0033792B" w:rsidRPr="00521442">
        <w:rPr>
          <w:rFonts w:eastAsia="MS Mincho"/>
          <w:b/>
          <w:i/>
        </w:rPr>
        <w:t>A SL-BWP can be UE-specific</w:t>
      </w:r>
      <w:r w:rsidR="00A15F1F" w:rsidRPr="00521442">
        <w:rPr>
          <w:rFonts w:eastAsia="MS Mincho"/>
          <w:b/>
          <w:i/>
        </w:rPr>
        <w:t>ally</w:t>
      </w:r>
      <w:r w:rsidR="0033792B" w:rsidRPr="00521442">
        <w:rPr>
          <w:rFonts w:eastAsia="MS Mincho"/>
          <w:b/>
          <w:i/>
        </w:rPr>
        <w:t xml:space="preserve"> configured. </w:t>
      </w:r>
    </w:p>
    <w:p w14:paraId="30304BCA" w14:textId="47D858FA" w:rsidR="00A15F1F" w:rsidRPr="00521442" w:rsidRDefault="00A15F1F" w:rsidP="00876BD7">
      <w:pPr>
        <w:pStyle w:val="Heading3"/>
      </w:pPr>
      <w:r w:rsidRPr="00521442">
        <w:t>Resource pools</w:t>
      </w:r>
    </w:p>
    <w:p w14:paraId="389E7706" w14:textId="4DAA560F" w:rsidR="009E2E09" w:rsidRPr="00521442" w:rsidRDefault="009E2E09" w:rsidP="009E2E09">
      <w:pPr>
        <w:snapToGrid/>
        <w:rPr>
          <w:rFonts w:eastAsia="MS Mincho"/>
        </w:rPr>
      </w:pPr>
      <w:r w:rsidRPr="00521442">
        <w:rPr>
          <w:rFonts w:eastAsia="MS Mincho"/>
        </w:rPr>
        <w:t>In LTE-V2X, resource pools were defined, including Tx pool and Rx pool. LTE V2X resource pools are configured by the network, either on a per-cell or a per-UE basis. For resource pool list broadcast by SIB21, maximum 8 Tx pools and 16 Rx pools are specified. Benefits of resource pool are discussed below.</w:t>
      </w:r>
    </w:p>
    <w:p w14:paraId="32490669" w14:textId="77777777" w:rsidR="009E2E09" w:rsidRPr="00521442" w:rsidRDefault="009E2E09" w:rsidP="009E2E09">
      <w:pPr>
        <w:rPr>
          <w:rFonts w:eastAsia="MS Mincho"/>
          <w:b/>
          <w:u w:val="single"/>
        </w:rPr>
      </w:pPr>
      <w:r w:rsidRPr="00521442">
        <w:rPr>
          <w:rFonts w:eastAsia="MS Mincho"/>
          <w:b/>
          <w:u w:val="single"/>
        </w:rPr>
        <w:t>(1) Supporting UE autonomous resource selection</w:t>
      </w:r>
    </w:p>
    <w:p w14:paraId="3687ACD5" w14:textId="77777777" w:rsidR="009E2E09" w:rsidRPr="00521442" w:rsidRDefault="009E2E09" w:rsidP="009E2E09">
      <w:pPr>
        <w:snapToGrid/>
        <w:rPr>
          <w:rFonts w:eastAsia="MS Mincho"/>
        </w:rPr>
      </w:pPr>
      <w:r w:rsidRPr="00521442">
        <w:rPr>
          <w:rFonts w:eastAsia="MS Mincho"/>
        </w:rPr>
        <w:t xml:space="preserve">As compared to BWP, the number of resource pools is more. To support UE autonomous resource selection, more resource pools is beneficial for collision avoidance. For example, transmitting UE could measure all configured Tx resource pools and select one Tx resource pool based on the sensing results, and receiving will monitor SCI in all configured Rx pools. </w:t>
      </w:r>
    </w:p>
    <w:p w14:paraId="0DFE342F" w14:textId="77777777" w:rsidR="009E2E09" w:rsidRPr="00521442" w:rsidRDefault="009E2E09" w:rsidP="009E2E09">
      <w:pPr>
        <w:rPr>
          <w:rFonts w:eastAsia="MS Mincho"/>
          <w:b/>
          <w:u w:val="single"/>
        </w:rPr>
      </w:pPr>
      <w:r w:rsidRPr="00521442">
        <w:rPr>
          <w:rFonts w:eastAsia="MS Mincho"/>
          <w:b/>
          <w:u w:val="single"/>
        </w:rPr>
        <w:t>(2) Supporting time-domain resource selection</w:t>
      </w:r>
    </w:p>
    <w:p w14:paraId="6C24A984" w14:textId="77777777" w:rsidR="009E2E09" w:rsidRPr="00521442" w:rsidRDefault="009E2E09" w:rsidP="009E2E09">
      <w:pPr>
        <w:snapToGrid/>
        <w:rPr>
          <w:rFonts w:eastAsia="MS Mincho"/>
        </w:rPr>
      </w:pPr>
      <w:r w:rsidRPr="00521442">
        <w:rPr>
          <w:rFonts w:eastAsia="MS Mincho"/>
        </w:rPr>
        <w:t xml:space="preserve">BWP is the concept in the frequency-domain, while resource pool includes both time-domain and frequency-domain concept. To simplify the transmit/receive procedure, available slots or symbols for transmitting/receiving could be defined in the resource pool </w:t>
      </w:r>
      <w:r w:rsidRPr="00521442">
        <w:rPr>
          <w:rFonts w:eastAsia="MS Mincho"/>
        </w:rPr>
        <w:fldChar w:fldCharType="begin"/>
      </w:r>
      <w:r w:rsidRPr="00521442">
        <w:rPr>
          <w:rFonts w:eastAsia="MS Mincho"/>
        </w:rPr>
        <w:instrText xml:space="preserve"> REF _Ref524942458 \r \h </w:instrText>
      </w:r>
      <w:r w:rsidRPr="00521442">
        <w:rPr>
          <w:rFonts w:eastAsia="MS Mincho"/>
        </w:rPr>
      </w:r>
      <w:r w:rsidRPr="00521442">
        <w:rPr>
          <w:rFonts w:eastAsia="MS Mincho"/>
        </w:rPr>
        <w:fldChar w:fldCharType="separate"/>
      </w:r>
      <w:r w:rsidRPr="00521442">
        <w:rPr>
          <w:rFonts w:eastAsia="MS Mincho"/>
        </w:rPr>
        <w:t>[2]</w:t>
      </w:r>
      <w:r w:rsidRPr="00521442">
        <w:rPr>
          <w:rFonts w:eastAsia="MS Mincho"/>
        </w:rPr>
        <w:fldChar w:fldCharType="end"/>
      </w:r>
      <w:r w:rsidRPr="00521442">
        <w:rPr>
          <w:rFonts w:eastAsia="MS Mincho"/>
        </w:rPr>
        <w:t>.</w:t>
      </w:r>
    </w:p>
    <w:p w14:paraId="6261BE7C" w14:textId="57E967B2" w:rsidR="009E2E09" w:rsidRPr="00521442" w:rsidRDefault="009E2E09" w:rsidP="009E2E09">
      <w:pPr>
        <w:rPr>
          <w:rFonts w:eastAsia="MS Mincho"/>
          <w:b/>
          <w:i/>
        </w:rPr>
      </w:pPr>
      <w:r w:rsidRPr="00521442">
        <w:rPr>
          <w:rFonts w:eastAsia="MS Mincho"/>
          <w:b/>
          <w:i/>
        </w:rPr>
        <w:t xml:space="preserve">Observation </w:t>
      </w:r>
      <w:r w:rsidR="004B1740" w:rsidRPr="00521442">
        <w:rPr>
          <w:rFonts w:eastAsia="MS Mincho"/>
          <w:b/>
          <w:i/>
        </w:rPr>
        <w:t>6</w:t>
      </w:r>
      <w:r w:rsidRPr="00521442">
        <w:rPr>
          <w:rFonts w:eastAsia="MS Mincho"/>
          <w:b/>
          <w:i/>
        </w:rPr>
        <w:t xml:space="preserve">: Benefits of resource pool </w:t>
      </w:r>
      <w:r w:rsidR="00AC4C21">
        <w:rPr>
          <w:rFonts w:eastAsia="MS Mincho"/>
          <w:b/>
          <w:i/>
        </w:rPr>
        <w:t xml:space="preserve">(on top of BWP) </w:t>
      </w:r>
      <w:r w:rsidRPr="00521442">
        <w:rPr>
          <w:rFonts w:eastAsia="MS Mincho"/>
          <w:b/>
          <w:i/>
        </w:rPr>
        <w:t>include:</w:t>
      </w:r>
    </w:p>
    <w:p w14:paraId="5AD59315" w14:textId="77777777" w:rsidR="009E2E09" w:rsidRPr="00521442" w:rsidRDefault="009E2E09" w:rsidP="00876BD7">
      <w:pPr>
        <w:numPr>
          <w:ilvl w:val="2"/>
          <w:numId w:val="4"/>
        </w:numPr>
        <w:autoSpaceDE/>
        <w:autoSpaceDN/>
        <w:adjustRightInd/>
        <w:snapToGrid/>
        <w:spacing w:after="0"/>
        <w:ind w:leftChars="210" w:left="882"/>
        <w:contextualSpacing/>
        <w:rPr>
          <w:rFonts w:eastAsia="MS Mincho"/>
          <w:b/>
          <w:i/>
        </w:rPr>
      </w:pPr>
      <w:r w:rsidRPr="00521442">
        <w:rPr>
          <w:rFonts w:eastAsia="MS Mincho"/>
          <w:b/>
          <w:i/>
        </w:rPr>
        <w:t xml:space="preserve">Supporting UE autonomous resource selection </w:t>
      </w:r>
    </w:p>
    <w:p w14:paraId="4E786605" w14:textId="77777777" w:rsidR="009E2E09" w:rsidRPr="00521442" w:rsidRDefault="009E2E09" w:rsidP="00876BD7">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time-domain resource selection</w:t>
      </w:r>
    </w:p>
    <w:p w14:paraId="26174150" w14:textId="77777777" w:rsidR="009E2E09" w:rsidRPr="00521442" w:rsidRDefault="009E2E09" w:rsidP="009E2E09">
      <w:pPr>
        <w:pStyle w:val="Heading3"/>
      </w:pPr>
      <w:r w:rsidRPr="00521442">
        <w:t>Relationship between sidelink BWP and resource pool</w:t>
      </w:r>
    </w:p>
    <w:p w14:paraId="0B15615A" w14:textId="45EEFC28" w:rsidR="009E2E09" w:rsidRPr="00521442" w:rsidRDefault="009E2E09" w:rsidP="009E2E09">
      <w:pPr>
        <w:snapToGrid/>
        <w:rPr>
          <w:rFonts w:eastAsia="MS Mincho"/>
        </w:rPr>
      </w:pPr>
      <w:r w:rsidRPr="00521442">
        <w:rPr>
          <w:rFonts w:eastAsia="MS Mincho"/>
        </w:rPr>
        <w:t xml:space="preserve">As discussed above, all SL transmissions/receptions should take place within SL BWPs, and </w:t>
      </w:r>
      <w:r w:rsidRPr="00521442">
        <w:rPr>
          <w:lang w:eastAsia="zh-CN"/>
        </w:rPr>
        <w:t xml:space="preserve">a UE is not expected to transmit </w:t>
      </w:r>
      <w:r w:rsidR="001C09C0" w:rsidRPr="00521442">
        <w:rPr>
          <w:lang w:eastAsia="zh-CN"/>
        </w:rPr>
        <w:t xml:space="preserve">or </w:t>
      </w:r>
      <w:r w:rsidRPr="00521442">
        <w:rPr>
          <w:lang w:eastAsia="zh-CN"/>
        </w:rPr>
        <w:t xml:space="preserve">receive outside of </w:t>
      </w:r>
      <w:r w:rsidR="001C09C0" w:rsidRPr="00521442">
        <w:rPr>
          <w:lang w:eastAsia="zh-CN"/>
        </w:rPr>
        <w:t xml:space="preserve">an </w:t>
      </w:r>
      <w:r w:rsidRPr="00521442">
        <w:rPr>
          <w:lang w:eastAsia="zh-CN"/>
        </w:rPr>
        <w:t>active BWP</w:t>
      </w:r>
      <w:r w:rsidRPr="00521442">
        <w:rPr>
          <w:rFonts w:eastAsia="MS Mincho"/>
        </w:rPr>
        <w:t>. To support UE autonomous resource selection and time-domain resource selection, resource pools should be also introduced. For relationship between SL-BWP and resource pool, there are two options:</w:t>
      </w:r>
    </w:p>
    <w:p w14:paraId="6EB24249" w14:textId="0B9B58E3" w:rsidR="008D18C9" w:rsidRPr="00521442" w:rsidRDefault="008D18C9" w:rsidP="000F76B5">
      <w:pPr>
        <w:pStyle w:val="ListParagraph"/>
        <w:numPr>
          <w:ilvl w:val="0"/>
          <w:numId w:val="3"/>
        </w:numPr>
        <w:overflowPunct w:val="0"/>
        <w:snapToGrid/>
        <w:spacing w:after="180"/>
        <w:ind w:left="828" w:hanging="357"/>
        <w:textAlignment w:val="baseline"/>
        <w:rPr>
          <w:rFonts w:eastAsia="Malgun Gothic"/>
          <w:b/>
          <w:lang w:eastAsia="ko-KR"/>
        </w:rPr>
      </w:pPr>
      <w:r w:rsidRPr="00521442">
        <w:rPr>
          <w:rFonts w:eastAsia="Malgun Gothic"/>
          <w:b/>
          <w:u w:val="single"/>
          <w:lang w:eastAsia="ko-KR"/>
        </w:rPr>
        <w:t xml:space="preserve">Resource pool(s) are defined within </w:t>
      </w:r>
      <w:r w:rsidR="009B1ED2" w:rsidRPr="00521442">
        <w:rPr>
          <w:rFonts w:eastAsia="Malgun Gothic"/>
          <w:b/>
          <w:u w:val="single"/>
          <w:lang w:eastAsia="ko-KR"/>
        </w:rPr>
        <w:t xml:space="preserve">a </w:t>
      </w:r>
      <w:r w:rsidRPr="00521442">
        <w:rPr>
          <w:rFonts w:eastAsia="Malgun Gothic"/>
          <w:b/>
          <w:u w:val="single"/>
          <w:lang w:eastAsia="ko-KR"/>
        </w:rPr>
        <w:t>BWP</w:t>
      </w:r>
      <w:r w:rsidRPr="00521442">
        <w:rPr>
          <w:rFonts w:eastAsia="Malgun Gothic" w:hint="eastAsia"/>
          <w:b/>
          <w:u w:val="single"/>
          <w:lang w:eastAsia="ko-KR"/>
        </w:rPr>
        <w:t>:</w:t>
      </w:r>
      <w:r w:rsidRPr="00521442">
        <w:rPr>
          <w:rFonts w:eastAsia="Malgun Gothic" w:hint="eastAsia"/>
          <w:b/>
          <w:lang w:eastAsia="ko-KR"/>
        </w:rPr>
        <w:t xml:space="preserve"> </w:t>
      </w:r>
      <w:r w:rsidRPr="00521442">
        <w:rPr>
          <w:rFonts w:eastAsia="MS Mincho"/>
        </w:rPr>
        <w:t>for NR</w:t>
      </w:r>
      <w:r w:rsidR="00D4658F" w:rsidRPr="00521442">
        <w:rPr>
          <w:rFonts w:eastAsia="MS Mincho"/>
        </w:rPr>
        <w:t xml:space="preserve"> Uu</w:t>
      </w:r>
      <w:r w:rsidRPr="00521442">
        <w:rPr>
          <w:rFonts w:eastAsia="MS Mincho"/>
        </w:rPr>
        <w:t xml:space="preserve">, the Uu data and control channel resources are configured per BWP. For a unified NR design, the sidelink resource configuration, should also be done per SL-BWP. Within an active BWP, a UE can be </w:t>
      </w:r>
      <w:r w:rsidR="00D4658F" w:rsidRPr="00521442">
        <w:rPr>
          <w:rFonts w:eastAsia="MS Mincho"/>
        </w:rPr>
        <w:t>(pre-</w:t>
      </w:r>
      <w:r w:rsidR="009B1ED2" w:rsidRPr="00521442">
        <w:rPr>
          <w:rFonts w:eastAsia="MS Mincho"/>
        </w:rPr>
        <w:t>) configured</w:t>
      </w:r>
      <w:r w:rsidRPr="00521442">
        <w:rPr>
          <w:rFonts w:eastAsia="MS Mincho"/>
        </w:rPr>
        <w:t xml:space="preserve"> with multiple resource pools to transmit and receive as shown in</w:t>
      </w:r>
      <w:r w:rsidR="00B06B91" w:rsidRPr="00521442">
        <w:rPr>
          <w:rFonts w:eastAsia="MS Mincho"/>
        </w:rPr>
        <w:t xml:space="preserve"> </w:t>
      </w:r>
      <w:r w:rsidR="00B06B91" w:rsidRPr="00521442">
        <w:rPr>
          <w:rFonts w:eastAsia="MS Mincho"/>
        </w:rPr>
        <w:fldChar w:fldCharType="begin"/>
      </w:r>
      <w:r w:rsidR="00B06B91" w:rsidRPr="00521442">
        <w:rPr>
          <w:rFonts w:eastAsia="MS Mincho"/>
        </w:rPr>
        <w:instrText xml:space="preserve"> REF _Ref525664003 \h </w:instrText>
      </w:r>
      <w:r w:rsidR="00B06B91" w:rsidRPr="00521442">
        <w:rPr>
          <w:rFonts w:eastAsia="MS Mincho"/>
        </w:rPr>
      </w:r>
      <w:r w:rsidR="00B06B91" w:rsidRPr="00521442">
        <w:rPr>
          <w:rFonts w:eastAsia="MS Mincho"/>
        </w:rPr>
        <w:fldChar w:fldCharType="separate"/>
      </w:r>
      <w:r w:rsidR="006F7DE5" w:rsidRPr="00521442">
        <w:t>Figure 10</w:t>
      </w:r>
      <w:r w:rsidR="00B06B91" w:rsidRPr="00521442">
        <w:rPr>
          <w:rFonts w:eastAsia="MS Mincho"/>
        </w:rPr>
        <w:fldChar w:fldCharType="end"/>
      </w:r>
      <w:r w:rsidRPr="00521442">
        <w:rPr>
          <w:rFonts w:eastAsia="MS Mincho"/>
        </w:rPr>
        <w:t xml:space="preserve">. </w:t>
      </w:r>
    </w:p>
    <w:p w14:paraId="4FE943AC" w14:textId="11CC3B91" w:rsidR="00B06B91" w:rsidRPr="00521442" w:rsidRDefault="00E1443F" w:rsidP="00B06B91">
      <w:pPr>
        <w:keepNext/>
        <w:overflowPunct w:val="0"/>
        <w:snapToGrid/>
        <w:spacing w:after="180"/>
        <w:jc w:val="center"/>
        <w:textAlignment w:val="baseline"/>
      </w:pPr>
      <w:r w:rsidRPr="00521442">
        <w:rPr>
          <w:noProof/>
        </w:rPr>
        <w:drawing>
          <wp:inline distT="0" distB="0" distL="0" distR="0" wp14:anchorId="1AFB5114" wp14:editId="56CA52CD">
            <wp:extent cx="4107848" cy="83555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52826" cy="844705"/>
                    </a:xfrm>
                    <a:prstGeom prst="rect">
                      <a:avLst/>
                    </a:prstGeom>
                    <a:noFill/>
                    <a:ln>
                      <a:noFill/>
                    </a:ln>
                  </pic:spPr>
                </pic:pic>
              </a:graphicData>
            </a:graphic>
          </wp:inline>
        </w:drawing>
      </w:r>
    </w:p>
    <w:p w14:paraId="42D5F021" w14:textId="61ADAC7E" w:rsidR="00B06B91" w:rsidRPr="00521442" w:rsidRDefault="00B06B91">
      <w:pPr>
        <w:pStyle w:val="Caption"/>
      </w:pPr>
      <w:bookmarkStart w:id="19" w:name="_Ref525664003"/>
      <w:r w:rsidRPr="00521442">
        <w:t xml:space="preserve">Figure </w:t>
      </w:r>
      <w:fldSimple w:instr=" SEQ Figure \* ARABIC ">
        <w:r w:rsidR="006F7DE5" w:rsidRPr="00521442">
          <w:t>10</w:t>
        </w:r>
      </w:fldSimple>
      <w:bookmarkEnd w:id="19"/>
      <w:r w:rsidRPr="00521442">
        <w:t>. Resource pool</w:t>
      </w:r>
      <w:r w:rsidR="00D6758B" w:rsidRPr="00521442">
        <w:t>s are</w:t>
      </w:r>
      <w:r w:rsidRPr="00521442">
        <w:t xml:space="preserve"> confined within a SL BWP</w:t>
      </w:r>
    </w:p>
    <w:p w14:paraId="04759715" w14:textId="39847B43" w:rsidR="009B1ED2" w:rsidRPr="00521442" w:rsidRDefault="00D6758B" w:rsidP="009B1ED2">
      <w:pPr>
        <w:pStyle w:val="ListParagraph"/>
        <w:numPr>
          <w:ilvl w:val="0"/>
          <w:numId w:val="3"/>
        </w:numPr>
        <w:overflowPunct w:val="0"/>
        <w:snapToGrid/>
        <w:spacing w:after="180"/>
        <w:ind w:left="828" w:hanging="357"/>
        <w:textAlignment w:val="baseline"/>
        <w:rPr>
          <w:rFonts w:eastAsia="Malgun Gothic"/>
          <w:b/>
          <w:lang w:eastAsia="ko-KR"/>
        </w:rPr>
      </w:pPr>
      <w:r w:rsidRPr="00521442">
        <w:rPr>
          <w:rFonts w:eastAsia="Malgun Gothic"/>
          <w:b/>
          <w:u w:val="single"/>
          <w:lang w:eastAsia="ko-KR"/>
        </w:rPr>
        <w:t>Resource pool(s) are not defined within a BWP</w:t>
      </w:r>
      <w:r w:rsidR="009B1ED2" w:rsidRPr="00521442">
        <w:rPr>
          <w:rFonts w:eastAsia="Malgun Gothic" w:hint="eastAsia"/>
          <w:b/>
          <w:u w:val="single"/>
          <w:lang w:eastAsia="ko-KR"/>
        </w:rPr>
        <w:t>:</w:t>
      </w:r>
      <w:r w:rsidR="009B1ED2" w:rsidRPr="00521442">
        <w:rPr>
          <w:rFonts w:eastAsia="Malgun Gothic" w:hint="eastAsia"/>
          <w:b/>
          <w:lang w:eastAsia="ko-KR"/>
        </w:rPr>
        <w:t xml:space="preserve"> </w:t>
      </w:r>
      <w:r w:rsidR="00E1443F" w:rsidRPr="00521442">
        <w:rPr>
          <w:rFonts w:eastAsia="Malgun Gothic"/>
          <w:lang w:eastAsia="ko-KR"/>
        </w:rPr>
        <w:t xml:space="preserve">there can be two cases, </w:t>
      </w:r>
      <w:r w:rsidR="00E1443F" w:rsidRPr="00521442">
        <w:rPr>
          <w:rFonts w:eastAsia="MS Mincho"/>
        </w:rPr>
        <w:t xml:space="preserve">1) </w:t>
      </w:r>
      <w:r w:rsidR="009B1ED2" w:rsidRPr="00521442">
        <w:rPr>
          <w:rFonts w:eastAsia="MS Mincho"/>
        </w:rPr>
        <w:t>resource pools</w:t>
      </w:r>
      <w:r w:rsidR="00E1443F" w:rsidRPr="00521442">
        <w:rPr>
          <w:rFonts w:eastAsia="MS Mincho"/>
        </w:rPr>
        <w:t xml:space="preserve"> can straddle more than one BWP; 2) </w:t>
      </w:r>
      <w:r w:rsidRPr="00521442">
        <w:rPr>
          <w:rFonts w:eastAsia="MS Mincho"/>
        </w:rPr>
        <w:t xml:space="preserve">a </w:t>
      </w:r>
      <w:r w:rsidR="00E1443F" w:rsidRPr="00521442">
        <w:rPr>
          <w:rFonts w:eastAsia="MS Mincho"/>
        </w:rPr>
        <w:t>resource pool contain</w:t>
      </w:r>
      <w:r w:rsidRPr="00521442">
        <w:rPr>
          <w:rFonts w:eastAsia="MS Mincho"/>
        </w:rPr>
        <w:t>s</w:t>
      </w:r>
      <w:r w:rsidR="00E1443F" w:rsidRPr="00521442">
        <w:rPr>
          <w:rFonts w:eastAsia="MS Mincho"/>
        </w:rPr>
        <w:t xml:space="preserve"> BWP(s).</w:t>
      </w:r>
      <w:r w:rsidR="009B1ED2" w:rsidRPr="00521442">
        <w:rPr>
          <w:rFonts w:eastAsia="MS Mincho"/>
        </w:rPr>
        <w:t xml:space="preserve"> </w:t>
      </w:r>
      <w:r w:rsidR="00E1443F" w:rsidRPr="00521442">
        <w:rPr>
          <w:rFonts w:eastAsia="MS Mincho"/>
        </w:rPr>
        <w:t>In either case,</w:t>
      </w:r>
      <w:r w:rsidR="009B1ED2" w:rsidRPr="00521442">
        <w:rPr>
          <w:rFonts w:eastAsia="MS Mincho"/>
        </w:rPr>
        <w:t xml:space="preserve"> only the parts of resource pools which are within the active SL BWP can be used for a UE to transmit or receive, as shown in</w:t>
      </w:r>
      <w:r w:rsidR="00CB44CA" w:rsidRPr="00521442">
        <w:rPr>
          <w:rFonts w:eastAsia="MS Mincho"/>
        </w:rPr>
        <w:t xml:space="preserve"> </w:t>
      </w:r>
      <w:r w:rsidR="00CB44CA" w:rsidRPr="00521442">
        <w:rPr>
          <w:rFonts w:eastAsia="MS Mincho"/>
        </w:rPr>
        <w:fldChar w:fldCharType="begin"/>
      </w:r>
      <w:r w:rsidR="00CB44CA" w:rsidRPr="00521442">
        <w:rPr>
          <w:rFonts w:eastAsia="MS Mincho"/>
        </w:rPr>
        <w:instrText xml:space="preserve"> REF _Ref525723406 \h </w:instrText>
      </w:r>
      <w:r w:rsidR="00CB44CA" w:rsidRPr="00521442">
        <w:rPr>
          <w:rFonts w:eastAsia="MS Mincho"/>
        </w:rPr>
      </w:r>
      <w:r w:rsidR="00CB44CA" w:rsidRPr="00521442">
        <w:rPr>
          <w:rFonts w:eastAsia="MS Mincho"/>
        </w:rPr>
        <w:fldChar w:fldCharType="separate"/>
      </w:r>
      <w:r w:rsidR="006F7DE5" w:rsidRPr="00521442">
        <w:t>Figure 11</w:t>
      </w:r>
      <w:r w:rsidR="00CB44CA" w:rsidRPr="00521442">
        <w:rPr>
          <w:rFonts w:eastAsia="MS Mincho"/>
        </w:rPr>
        <w:fldChar w:fldCharType="end"/>
      </w:r>
      <w:r w:rsidR="009B1ED2" w:rsidRPr="00521442">
        <w:rPr>
          <w:rFonts w:eastAsia="MS Mincho"/>
        </w:rPr>
        <w:t xml:space="preserve">. This results in packets missed among UEs even in the same resource pool. On the other hand, </w:t>
      </w:r>
      <w:r w:rsidR="00CB44CA" w:rsidRPr="00521442">
        <w:rPr>
          <w:rFonts w:eastAsia="MS Mincho"/>
        </w:rPr>
        <w:t xml:space="preserve">in case </w:t>
      </w:r>
      <w:r w:rsidR="00221873" w:rsidRPr="00521442">
        <w:rPr>
          <w:rFonts w:eastAsia="MS Mincho"/>
        </w:rPr>
        <w:t xml:space="preserve">that a </w:t>
      </w:r>
      <w:r w:rsidR="00CB44CA" w:rsidRPr="00521442">
        <w:rPr>
          <w:rFonts w:eastAsia="MS Mincho"/>
        </w:rPr>
        <w:t>resource pool contain</w:t>
      </w:r>
      <w:r w:rsidR="00221873" w:rsidRPr="00521442">
        <w:rPr>
          <w:rFonts w:eastAsia="MS Mincho"/>
        </w:rPr>
        <w:t>s</w:t>
      </w:r>
      <w:r w:rsidR="00CB44CA" w:rsidRPr="00521442">
        <w:rPr>
          <w:rFonts w:eastAsia="MS Mincho"/>
        </w:rPr>
        <w:t xml:space="preserve"> BWP(s), </w:t>
      </w:r>
      <w:r w:rsidR="009B1ED2" w:rsidRPr="00521442">
        <w:rPr>
          <w:rFonts w:eastAsia="MS Mincho"/>
        </w:rPr>
        <w:t xml:space="preserve">a UE may be configured with multiple resources pool(s) to simultaneously transmit or receive SL, e.g. up to 16 Rx resource pools in LTE-V. This means UE may have a </w:t>
      </w:r>
      <w:r w:rsidRPr="00521442">
        <w:rPr>
          <w:rFonts w:eastAsia="MS Mincho"/>
        </w:rPr>
        <w:t xml:space="preserve">very </w:t>
      </w:r>
      <w:r w:rsidR="009B1ED2" w:rsidRPr="00521442">
        <w:rPr>
          <w:rFonts w:eastAsia="MS Mincho"/>
        </w:rPr>
        <w:t xml:space="preserve">large number of multiple BWPs being active at the same time, at least for reception purpose. </w:t>
      </w:r>
    </w:p>
    <w:p w14:paraId="3662B7C2" w14:textId="77777777" w:rsidR="00CB44CA" w:rsidRPr="00521442" w:rsidRDefault="00E1443F" w:rsidP="00CB44CA">
      <w:pPr>
        <w:keepNext/>
        <w:jc w:val="center"/>
      </w:pPr>
      <w:r w:rsidRPr="00521442">
        <w:rPr>
          <w:noProof/>
        </w:rPr>
        <w:lastRenderedPageBreak/>
        <w:drawing>
          <wp:inline distT="0" distB="0" distL="0" distR="0" wp14:anchorId="684BB5CC" wp14:editId="28E90AAD">
            <wp:extent cx="4072099" cy="2043485"/>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02287" cy="2058634"/>
                    </a:xfrm>
                    <a:prstGeom prst="rect">
                      <a:avLst/>
                    </a:prstGeom>
                    <a:noFill/>
                    <a:ln>
                      <a:noFill/>
                    </a:ln>
                  </pic:spPr>
                </pic:pic>
              </a:graphicData>
            </a:graphic>
          </wp:inline>
        </w:drawing>
      </w:r>
    </w:p>
    <w:p w14:paraId="0C17B489" w14:textId="74476E43" w:rsidR="009B1ED2" w:rsidRPr="00521442" w:rsidRDefault="00CB44CA" w:rsidP="00CB44CA">
      <w:pPr>
        <w:pStyle w:val="Caption"/>
      </w:pPr>
      <w:bookmarkStart w:id="20" w:name="_Ref525723406"/>
      <w:r w:rsidRPr="00521442">
        <w:t xml:space="preserve">Figure </w:t>
      </w:r>
      <w:fldSimple w:instr=" SEQ Figure \* ARABIC ">
        <w:r w:rsidR="006F7DE5" w:rsidRPr="00521442">
          <w:t>11</w:t>
        </w:r>
      </w:fldSimple>
      <w:bookmarkEnd w:id="20"/>
      <w:r w:rsidRPr="00521442">
        <w:t xml:space="preserve">. </w:t>
      </w:r>
      <w:r w:rsidR="00D6758B" w:rsidRPr="00521442">
        <w:t>Resource pools</w:t>
      </w:r>
      <w:r w:rsidR="009B1ED2" w:rsidRPr="00521442">
        <w:t xml:space="preserve"> are</w:t>
      </w:r>
      <w:r w:rsidRPr="00521442">
        <w:t xml:space="preserve"> not</w:t>
      </w:r>
      <w:r w:rsidR="009B1ED2" w:rsidRPr="00521442">
        <w:t xml:space="preserve"> </w:t>
      </w:r>
      <w:r w:rsidR="00D6758B" w:rsidRPr="00521442">
        <w:t>confined</w:t>
      </w:r>
      <w:r w:rsidR="009B1ED2" w:rsidRPr="00521442">
        <w:t xml:space="preserve"> within </w:t>
      </w:r>
      <w:r w:rsidR="00D6758B" w:rsidRPr="00521442">
        <w:t>a BWP</w:t>
      </w:r>
    </w:p>
    <w:p w14:paraId="60899389" w14:textId="066007DA" w:rsidR="006B7792" w:rsidRPr="00521442" w:rsidRDefault="00A52FB0" w:rsidP="0091000A">
      <w:pPr>
        <w:rPr>
          <w:rFonts w:eastAsia="MS Mincho"/>
        </w:rPr>
      </w:pPr>
      <w:r w:rsidRPr="00521442">
        <w:rPr>
          <w:rFonts w:eastAsia="MS Mincho"/>
        </w:rPr>
        <w:t>In general, a V2X UE will be configured with more resource pools than BWPs. R</w:t>
      </w:r>
      <w:r w:rsidR="0065202F" w:rsidRPr="00521442">
        <w:rPr>
          <w:rFonts w:eastAsia="MS Mincho"/>
        </w:rPr>
        <w:t>esource pool selection for an active SL BWP should be determined. One simple approach is configuring association of resource pool(s) and a SL BWP, and available resource pool(s) could be selected by the association when the SL BWP is active.</w:t>
      </w:r>
    </w:p>
    <w:p w14:paraId="3239C15D" w14:textId="15665982" w:rsidR="009E2E09" w:rsidRPr="00521442" w:rsidRDefault="009E2E09" w:rsidP="00876BD7">
      <w:pPr>
        <w:snapToGrid/>
        <w:rPr>
          <w:rFonts w:eastAsia="MS Mincho"/>
        </w:rPr>
      </w:pPr>
      <w:r w:rsidRPr="00521442">
        <w:rPr>
          <w:rFonts w:eastAsia="MS Mincho"/>
        </w:rPr>
        <w:t>Another issue is the number of resource pools within a SL BWP, and it depends on the SL transmission mode. For a gNB-scheduled transmission mode (NR SL mode-1), the transmission/reception within an SL BWP may be done with only one resource pool, i.e. resource pool is the same as the SL BWP. For a non-gNB scheduled transmission mode (NR SL mode-2), multiple resource pools may be configured to avoid resource conflict</w:t>
      </w:r>
      <w:r w:rsidR="00234547" w:rsidRPr="00521442">
        <w:rPr>
          <w:rFonts w:eastAsia="MS Mincho"/>
        </w:rPr>
        <w:t>s</w:t>
      </w:r>
      <w:r w:rsidRPr="00521442">
        <w:rPr>
          <w:rFonts w:eastAsia="MS Mincho"/>
        </w:rPr>
        <w:t>. In addition, a common SL BWP can be configured for a group of UEs (or all UEs) where they can receive configuration signaling.</w:t>
      </w:r>
    </w:p>
    <w:p w14:paraId="6BF53707" w14:textId="0F25EF19" w:rsidR="006B761C" w:rsidRPr="00521442" w:rsidRDefault="006B761C" w:rsidP="0091000A">
      <w:pPr>
        <w:snapToGrid/>
        <w:contextualSpacing/>
        <w:rPr>
          <w:rFonts w:eastAsia="MS Mincho"/>
          <w:b/>
          <w:i/>
        </w:rPr>
      </w:pPr>
      <w:r w:rsidRPr="00521442">
        <w:rPr>
          <w:b/>
          <w:bCs/>
          <w:i/>
          <w:iCs/>
        </w:rPr>
        <w:t>Proposal 11: For a UE, each configured resource pool</w:t>
      </w:r>
      <w:r w:rsidRPr="00521442">
        <w:rPr>
          <w:b/>
          <w:bCs/>
          <w:i/>
          <w:iCs/>
          <w:color w:val="FF0000"/>
        </w:rPr>
        <w:t xml:space="preserve"> </w:t>
      </w:r>
      <w:r w:rsidRPr="00521442">
        <w:rPr>
          <w:b/>
          <w:bCs/>
          <w:i/>
          <w:iCs/>
        </w:rPr>
        <w:t xml:space="preserve">is </w:t>
      </w:r>
      <w:r w:rsidR="006F7DE5" w:rsidRPr="00521442">
        <w:rPr>
          <w:b/>
          <w:bCs/>
          <w:i/>
          <w:iCs/>
          <w:color w:val="000000" w:themeColor="text1"/>
        </w:rPr>
        <w:t xml:space="preserve">defined </w:t>
      </w:r>
      <w:r w:rsidRPr="00521442">
        <w:rPr>
          <w:b/>
          <w:bCs/>
          <w:i/>
          <w:iCs/>
        </w:rPr>
        <w:t>within a SL BWP in frequency domain, with the association of resource pools to BWPs configured by higher layers.</w:t>
      </w:r>
    </w:p>
    <w:p w14:paraId="2A0DC856" w14:textId="77777777" w:rsidR="00AA74EB" w:rsidRPr="00521442" w:rsidRDefault="00143A04" w:rsidP="000F76B5">
      <w:pPr>
        <w:pStyle w:val="Heading2"/>
        <w:snapToGrid/>
        <w:contextualSpacing/>
      </w:pPr>
      <w:r w:rsidRPr="00521442">
        <w:t>PSCCH and PSSCH</w:t>
      </w:r>
      <w:r w:rsidR="00AA74EB" w:rsidRPr="00521442">
        <w:t xml:space="preserve"> multiplexing</w:t>
      </w:r>
    </w:p>
    <w:p w14:paraId="6DCB5D70" w14:textId="64C59D9C" w:rsidR="00143A04" w:rsidRPr="00521442" w:rsidRDefault="00143A04" w:rsidP="000F76B5">
      <w:pPr>
        <w:autoSpaceDE/>
        <w:autoSpaceDN/>
        <w:adjustRightInd/>
        <w:snapToGrid/>
        <w:spacing w:after="0"/>
        <w:jc w:val="left"/>
        <w:rPr>
          <w:lang w:eastAsia="zh-CN"/>
        </w:rPr>
      </w:pPr>
      <w:r w:rsidRPr="00521442">
        <w:rPr>
          <w:lang w:eastAsia="zh-CN"/>
        </w:rPr>
        <w:t>It was agreed in RAN1#94 to continue study on multiplexing physical channels considering at least the above aspects:</w:t>
      </w:r>
    </w:p>
    <w:p w14:paraId="2DCC757E" w14:textId="77777777" w:rsidR="00143A04" w:rsidRPr="00521442" w:rsidRDefault="00143A04" w:rsidP="000F76B5">
      <w:pPr>
        <w:pStyle w:val="ListParagraph"/>
        <w:numPr>
          <w:ilvl w:val="0"/>
          <w:numId w:val="3"/>
        </w:numPr>
        <w:overflowPunct w:val="0"/>
        <w:snapToGrid/>
        <w:spacing w:after="180"/>
        <w:textAlignment w:val="baseline"/>
        <w:rPr>
          <w:rFonts w:eastAsia="Malgun Gothic"/>
          <w:i/>
          <w:lang w:eastAsia="ko-KR"/>
        </w:rPr>
      </w:pPr>
      <w:r w:rsidRPr="00521442">
        <w:rPr>
          <w:rFonts w:eastAsia="Malgun Gothic"/>
          <w:i/>
          <w:lang w:eastAsia="ko-KR"/>
        </w:rPr>
        <w:t>Multiplexing of PSCCH and the associated PSSCH (here, the “associated” means that the PSCCH at least carries information necessary to decode the PSSCH).</w:t>
      </w:r>
    </w:p>
    <w:p w14:paraId="17C43A84" w14:textId="77777777" w:rsidR="00143A04" w:rsidRPr="00521442" w:rsidRDefault="00143A04" w:rsidP="000F76B5">
      <w:pPr>
        <w:pStyle w:val="ListParagraph"/>
        <w:numPr>
          <w:ilvl w:val="1"/>
          <w:numId w:val="3"/>
        </w:numPr>
        <w:overflowPunct w:val="0"/>
        <w:snapToGrid/>
        <w:spacing w:after="180"/>
        <w:textAlignment w:val="baseline"/>
        <w:rPr>
          <w:rFonts w:eastAsia="Malgun Gothic"/>
          <w:i/>
          <w:lang w:eastAsia="ko-KR"/>
        </w:rPr>
      </w:pPr>
      <w:r w:rsidRPr="00521442">
        <w:rPr>
          <w:rFonts w:eastAsia="Malgun Gothic"/>
          <w:i/>
          <w:lang w:eastAsia="ko-KR"/>
        </w:rPr>
        <w:t xml:space="preserve">Study further the following options: </w:t>
      </w:r>
    </w:p>
    <w:p w14:paraId="5E05A854" w14:textId="77777777" w:rsidR="00143A04" w:rsidRPr="00521442" w:rsidRDefault="00143A04" w:rsidP="000F76B5">
      <w:pPr>
        <w:pStyle w:val="ListParagraph"/>
        <w:numPr>
          <w:ilvl w:val="2"/>
          <w:numId w:val="3"/>
        </w:numPr>
        <w:overflowPunct w:val="0"/>
        <w:snapToGrid/>
        <w:spacing w:after="180"/>
        <w:textAlignment w:val="baseline"/>
        <w:rPr>
          <w:rFonts w:eastAsia="Malgun Gothic"/>
          <w:i/>
          <w:lang w:eastAsia="ko-KR"/>
        </w:rPr>
      </w:pPr>
      <w:r w:rsidRPr="00521442">
        <w:rPr>
          <w:rFonts w:eastAsia="Malgun Gothic"/>
          <w:i/>
          <w:lang w:eastAsia="ko-KR"/>
        </w:rPr>
        <w:t>Option 1: PSCCH and the associated PSSCH are transmitted using non-overlapping time resources.</w:t>
      </w:r>
    </w:p>
    <w:p w14:paraId="1A177835" w14:textId="77777777" w:rsidR="00143A04" w:rsidRPr="00521442" w:rsidRDefault="00143A04" w:rsidP="000F76B5">
      <w:pPr>
        <w:pStyle w:val="ListParagraph"/>
        <w:numPr>
          <w:ilvl w:val="3"/>
          <w:numId w:val="3"/>
        </w:numPr>
        <w:overflowPunct w:val="0"/>
        <w:snapToGrid/>
        <w:spacing w:after="180"/>
        <w:textAlignment w:val="baseline"/>
        <w:rPr>
          <w:rFonts w:eastAsia="Malgun Gothic"/>
          <w:i/>
          <w:lang w:eastAsia="ko-KR"/>
        </w:rPr>
      </w:pPr>
      <w:r w:rsidRPr="00521442">
        <w:rPr>
          <w:rFonts w:eastAsia="Malgun Gothic"/>
          <w:i/>
          <w:lang w:eastAsia="ko-KR"/>
        </w:rPr>
        <w:t>Option 1A: The frequency resources used by the two channels are the same.</w:t>
      </w:r>
    </w:p>
    <w:p w14:paraId="116B4CFE" w14:textId="77777777" w:rsidR="00143A04" w:rsidRPr="00521442" w:rsidRDefault="00143A04" w:rsidP="000F76B5">
      <w:pPr>
        <w:pStyle w:val="ListParagraph"/>
        <w:numPr>
          <w:ilvl w:val="3"/>
          <w:numId w:val="3"/>
        </w:numPr>
        <w:overflowPunct w:val="0"/>
        <w:snapToGrid/>
        <w:spacing w:after="180"/>
        <w:textAlignment w:val="baseline"/>
        <w:rPr>
          <w:rFonts w:eastAsia="Malgun Gothic"/>
          <w:i/>
          <w:lang w:eastAsia="ko-KR"/>
        </w:rPr>
      </w:pPr>
      <w:r w:rsidRPr="00521442">
        <w:rPr>
          <w:rFonts w:eastAsia="Malgun Gothic"/>
          <w:i/>
          <w:lang w:eastAsia="ko-KR"/>
        </w:rPr>
        <w:t>Option 1B: The frequency resources used by the two channels can be different.</w:t>
      </w:r>
    </w:p>
    <w:p w14:paraId="5C75678A" w14:textId="77777777" w:rsidR="00143A04" w:rsidRPr="00521442" w:rsidRDefault="00143A04" w:rsidP="000F76B5">
      <w:pPr>
        <w:pStyle w:val="ListParagraph"/>
        <w:numPr>
          <w:ilvl w:val="2"/>
          <w:numId w:val="3"/>
        </w:numPr>
        <w:overflowPunct w:val="0"/>
        <w:snapToGrid/>
        <w:spacing w:after="180"/>
        <w:textAlignment w:val="baseline"/>
        <w:rPr>
          <w:rFonts w:eastAsia="Malgun Gothic"/>
          <w:i/>
          <w:lang w:eastAsia="ko-KR"/>
        </w:rPr>
      </w:pPr>
      <w:r w:rsidRPr="00521442">
        <w:rPr>
          <w:rFonts w:eastAsia="Malgun Gothic"/>
          <w:i/>
          <w:lang w:eastAsia="ko-KR"/>
        </w:rPr>
        <w:t>Option 2: PSCCH and the associated PSSCH are transmitted using non-overlapping frequency resources in the all the time resources used for transmission. The time resources used by the two channels are the same.</w:t>
      </w:r>
    </w:p>
    <w:p w14:paraId="1F120CF9" w14:textId="77777777" w:rsidR="00143A04" w:rsidRPr="00521442" w:rsidRDefault="00143A04" w:rsidP="000F76B5">
      <w:pPr>
        <w:pStyle w:val="ListParagraph"/>
        <w:numPr>
          <w:ilvl w:val="2"/>
          <w:numId w:val="3"/>
        </w:numPr>
        <w:overflowPunct w:val="0"/>
        <w:snapToGrid/>
        <w:spacing w:after="180"/>
        <w:textAlignment w:val="baseline"/>
        <w:rPr>
          <w:rFonts w:eastAsia="Malgun Gothic"/>
          <w:i/>
          <w:lang w:eastAsia="ko-KR"/>
        </w:rPr>
      </w:pPr>
      <w:r w:rsidRPr="00521442">
        <w:rPr>
          <w:rFonts w:eastAsia="Malgun Gothic"/>
          <w:i/>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12887F42" w14:textId="1699E3C4" w:rsidR="00AA74EB" w:rsidRPr="00521442" w:rsidRDefault="00C65572" w:rsidP="000F76B5">
      <w:pPr>
        <w:contextualSpacing/>
        <w:rPr>
          <w:rFonts w:eastAsia="MS Mincho"/>
        </w:rPr>
      </w:pPr>
      <w:r w:rsidRPr="00521442">
        <w:rPr>
          <w:rFonts w:eastAsia="MS Mincho"/>
          <w:b/>
          <w:u w:val="single"/>
        </w:rPr>
        <w:t>Option 2</w:t>
      </w:r>
      <w:r w:rsidRPr="00521442">
        <w:rPr>
          <w:rFonts w:eastAsia="MS Mincho"/>
        </w:rPr>
        <w:t xml:space="preserve"> is used in</w:t>
      </w:r>
      <w:r w:rsidR="00AA74EB" w:rsidRPr="00521442">
        <w:rPr>
          <w:rFonts w:eastAsia="MS Mincho"/>
        </w:rPr>
        <w:t xml:space="preserve"> </w:t>
      </w:r>
      <w:r w:rsidR="00AA74EB" w:rsidRPr="00521442">
        <w:rPr>
          <w:rFonts w:eastAsia="MS Mincho" w:hint="eastAsia"/>
        </w:rPr>
        <w:t>LTE V2X,</w:t>
      </w:r>
      <w:r w:rsidRPr="00521442">
        <w:rPr>
          <w:rFonts w:eastAsia="MS Mincho"/>
        </w:rPr>
        <w:t xml:space="preserve"> </w:t>
      </w:r>
      <w:r w:rsidR="00FE672F" w:rsidRPr="00521442">
        <w:rPr>
          <w:rFonts w:eastAsia="MS Mincho"/>
        </w:rPr>
        <w:t xml:space="preserve">where </w:t>
      </w:r>
      <w:r w:rsidRPr="00521442">
        <w:rPr>
          <w:rFonts w:eastAsia="MS Mincho"/>
        </w:rPr>
        <w:t xml:space="preserve">one SL control, e.g. </w:t>
      </w:r>
      <w:r w:rsidR="00AA74EB" w:rsidRPr="00521442">
        <w:rPr>
          <w:rFonts w:eastAsia="MS Mincho"/>
        </w:rPr>
        <w:t>scheduling</w:t>
      </w:r>
      <w:r w:rsidR="00AA74EB" w:rsidRPr="00521442">
        <w:rPr>
          <w:rFonts w:eastAsia="MS Mincho" w:hint="eastAsia"/>
        </w:rPr>
        <w:t xml:space="preserve"> </w:t>
      </w:r>
      <w:r w:rsidR="00AA74EB" w:rsidRPr="00521442">
        <w:rPr>
          <w:rFonts w:eastAsia="MS Mincho"/>
        </w:rPr>
        <w:t>assignment (SA) is associated with one data transmission, where the SA and data are multiplexed in frequency in the same subframe, as shown in</w:t>
      </w:r>
      <w:r w:rsidR="00B06B91" w:rsidRPr="00521442">
        <w:rPr>
          <w:rFonts w:eastAsia="MS Mincho"/>
        </w:rPr>
        <w:t xml:space="preserve"> </w:t>
      </w:r>
      <w:r w:rsidR="00B06B91" w:rsidRPr="00521442">
        <w:rPr>
          <w:rFonts w:eastAsia="MS Mincho"/>
        </w:rPr>
        <w:fldChar w:fldCharType="begin"/>
      </w:r>
      <w:r w:rsidR="00B06B91" w:rsidRPr="00521442">
        <w:rPr>
          <w:rFonts w:eastAsia="MS Mincho"/>
        </w:rPr>
        <w:instrText xml:space="preserve"> REF _Ref524440279 \h </w:instrText>
      </w:r>
      <w:r w:rsidR="00B06B91" w:rsidRPr="00521442">
        <w:rPr>
          <w:rFonts w:eastAsia="MS Mincho"/>
        </w:rPr>
      </w:r>
      <w:r w:rsidR="00B06B91" w:rsidRPr="00521442">
        <w:rPr>
          <w:rFonts w:eastAsia="MS Mincho"/>
        </w:rPr>
        <w:fldChar w:fldCharType="separate"/>
      </w:r>
      <w:r w:rsidR="006F7DE5" w:rsidRPr="00521442">
        <w:t>Figure 12</w:t>
      </w:r>
      <w:r w:rsidR="00B06B91" w:rsidRPr="00521442">
        <w:rPr>
          <w:rFonts w:eastAsia="MS Mincho"/>
        </w:rPr>
        <w:fldChar w:fldCharType="end"/>
      </w:r>
      <w:r w:rsidR="00AA74EB" w:rsidRPr="00521442">
        <w:rPr>
          <w:rFonts w:eastAsia="MS Mincho"/>
        </w:rPr>
        <w:t xml:space="preserve">. </w:t>
      </w:r>
      <w:r w:rsidRPr="00521442">
        <w:rPr>
          <w:rFonts w:eastAsia="MS Mincho"/>
        </w:rPr>
        <w:t>This structure</w:t>
      </w:r>
      <w:r w:rsidR="00AA74EB" w:rsidRPr="00521442">
        <w:rPr>
          <w:rFonts w:eastAsia="MS Mincho"/>
        </w:rPr>
        <w:t xml:space="preserve"> allows a UE to boost transmission power</w:t>
      </w:r>
      <w:r w:rsidR="00567D07" w:rsidRPr="00521442">
        <w:rPr>
          <w:rFonts w:eastAsia="MS Mincho"/>
        </w:rPr>
        <w:t xml:space="preserve"> of SA over data</w:t>
      </w:r>
      <w:r w:rsidR="00AA74EB" w:rsidRPr="00521442">
        <w:rPr>
          <w:rFonts w:eastAsia="MS Mincho"/>
        </w:rPr>
        <w:t>, thus can help improving control channel reliability. This is beneficial for the use cases that require high coverage and higher reliability</w:t>
      </w:r>
      <w:r w:rsidRPr="00521442">
        <w:rPr>
          <w:rFonts w:eastAsia="MS Mincho"/>
        </w:rPr>
        <w:t>.</w:t>
      </w:r>
    </w:p>
    <w:p w14:paraId="65AB0D5D" w14:textId="77777777" w:rsidR="00641B15" w:rsidRPr="00521442" w:rsidRDefault="00641B15" w:rsidP="000F76B5">
      <w:pPr>
        <w:contextualSpacing/>
        <w:rPr>
          <w:rFonts w:eastAsia="MS Mincho"/>
        </w:rPr>
      </w:pPr>
    </w:p>
    <w:p w14:paraId="1986AF71" w14:textId="77777777" w:rsidR="00267E5E" w:rsidRPr="00521442" w:rsidRDefault="00F363EB" w:rsidP="000F76B5">
      <w:pPr>
        <w:keepNext/>
        <w:jc w:val="center"/>
      </w:pPr>
      <w:r w:rsidRPr="00521442">
        <w:rPr>
          <w:noProof/>
        </w:rPr>
        <w:lastRenderedPageBreak/>
        <w:drawing>
          <wp:inline distT="0" distB="0" distL="0" distR="0" wp14:anchorId="0E92DC1C" wp14:editId="3312E1AF">
            <wp:extent cx="907415" cy="137858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07415" cy="1378585"/>
                    </a:xfrm>
                    <a:prstGeom prst="rect">
                      <a:avLst/>
                    </a:prstGeom>
                    <a:noFill/>
                    <a:ln>
                      <a:noFill/>
                    </a:ln>
                  </pic:spPr>
                </pic:pic>
              </a:graphicData>
            </a:graphic>
          </wp:inline>
        </w:drawing>
      </w:r>
    </w:p>
    <w:p w14:paraId="5F0538D2" w14:textId="28C38556" w:rsidR="00601ECE" w:rsidRPr="00521442" w:rsidRDefault="00267E5E" w:rsidP="000F76B5">
      <w:pPr>
        <w:pStyle w:val="Caption"/>
      </w:pPr>
      <w:bookmarkStart w:id="21" w:name="_Ref524440279"/>
      <w:r w:rsidRPr="00521442">
        <w:t xml:space="preserve">Figure </w:t>
      </w:r>
      <w:fldSimple w:instr=" SEQ Figure \* ARABIC ">
        <w:r w:rsidR="006F7DE5" w:rsidRPr="00521442">
          <w:t>12</w:t>
        </w:r>
      </w:fldSimple>
      <w:bookmarkStart w:id="22" w:name="_Ref521602572"/>
      <w:bookmarkEnd w:id="21"/>
      <w:r w:rsidRPr="00521442">
        <w:rPr>
          <w:rFonts w:hint="eastAsia"/>
          <w:lang w:eastAsia="zh-CN"/>
        </w:rPr>
        <w:t xml:space="preserve">. </w:t>
      </w:r>
      <w:r w:rsidR="00532C6A" w:rsidRPr="00521442">
        <w:t xml:space="preserve"> </w:t>
      </w:r>
      <w:r w:rsidR="00AA74EB" w:rsidRPr="00521442">
        <w:rPr>
          <w:bCs w:val="0"/>
        </w:rPr>
        <w:t>FDM of SA and Data in one slot</w:t>
      </w:r>
      <w:bookmarkEnd w:id="22"/>
      <w:r w:rsidR="00532C6A" w:rsidRPr="00521442">
        <w:rPr>
          <w:bCs w:val="0"/>
        </w:rPr>
        <w:t xml:space="preserve"> (Option 2)</w:t>
      </w:r>
    </w:p>
    <w:p w14:paraId="6661C806" w14:textId="438DB474" w:rsidR="00532C6A" w:rsidRPr="00521442" w:rsidRDefault="00AA74EB" w:rsidP="000F76B5">
      <w:pPr>
        <w:contextualSpacing/>
        <w:rPr>
          <w:rFonts w:eastAsia="MS Mincho"/>
        </w:rPr>
      </w:pPr>
      <w:r w:rsidRPr="00521442">
        <w:rPr>
          <w:rFonts w:eastAsia="MS Mincho"/>
        </w:rPr>
        <w:t>NR V2X has more stringent requireme</w:t>
      </w:r>
      <w:r w:rsidR="00C65572" w:rsidRPr="00521442">
        <w:rPr>
          <w:rFonts w:eastAsia="MS Mincho"/>
        </w:rPr>
        <w:t>nts than LTE V2X, e.g. extra low</w:t>
      </w:r>
      <w:r w:rsidRPr="00521442">
        <w:rPr>
          <w:rFonts w:eastAsia="MS Mincho"/>
        </w:rPr>
        <w:t xml:space="preserve"> latency requirements, </w:t>
      </w:r>
      <w:r w:rsidR="00C65572" w:rsidRPr="00521442">
        <w:rPr>
          <w:rFonts w:eastAsia="MS Mincho"/>
        </w:rPr>
        <w:t xml:space="preserve">thus </w:t>
      </w:r>
      <w:r w:rsidRPr="00521442">
        <w:rPr>
          <w:rFonts w:eastAsia="MS Mincho"/>
        </w:rPr>
        <w:t xml:space="preserve">multiplexing of SL control and data </w:t>
      </w:r>
      <w:r w:rsidR="00C65572" w:rsidRPr="00521442">
        <w:rPr>
          <w:rFonts w:eastAsia="MS Mincho"/>
        </w:rPr>
        <w:t>in</w:t>
      </w:r>
      <w:r w:rsidRPr="00521442">
        <w:rPr>
          <w:rFonts w:eastAsia="MS Mincho"/>
        </w:rPr>
        <w:t xml:space="preserve"> time</w:t>
      </w:r>
      <w:r w:rsidR="00C65572" w:rsidRPr="00521442">
        <w:rPr>
          <w:rFonts w:eastAsia="MS Mincho"/>
        </w:rPr>
        <w:t xml:space="preserve"> domain</w:t>
      </w:r>
      <w:r w:rsidRPr="00521442">
        <w:rPr>
          <w:rFonts w:eastAsia="MS Mincho"/>
        </w:rPr>
        <w:t xml:space="preserve"> </w:t>
      </w:r>
      <w:r w:rsidR="00C65572" w:rsidRPr="00521442">
        <w:rPr>
          <w:rFonts w:eastAsia="MS Mincho"/>
        </w:rPr>
        <w:t>in a slot i</w:t>
      </w:r>
      <w:r w:rsidRPr="00521442">
        <w:rPr>
          <w:rFonts w:eastAsia="MS Mincho"/>
        </w:rPr>
        <w:t xml:space="preserve">s beneficial. </w:t>
      </w:r>
      <w:r w:rsidR="00C65572" w:rsidRPr="00521442">
        <w:rPr>
          <w:rFonts w:eastAsia="MS Mincho"/>
        </w:rPr>
        <w:t>This can reduce</w:t>
      </w:r>
      <w:r w:rsidRPr="00521442">
        <w:rPr>
          <w:rFonts w:eastAsia="MS Mincho"/>
        </w:rPr>
        <w:t xml:space="preserve"> decoding time since the SA can be processed as soon as </w:t>
      </w:r>
      <w:r w:rsidR="00C65572" w:rsidRPr="00521442">
        <w:rPr>
          <w:rFonts w:eastAsia="MS Mincho"/>
        </w:rPr>
        <w:t>all the SA symbols are received, where option 1A, 1B and 3 are proposed</w:t>
      </w:r>
      <w:r w:rsidR="00532C6A" w:rsidRPr="00521442">
        <w:rPr>
          <w:rFonts w:eastAsia="MS Mincho"/>
        </w:rPr>
        <w:t>, as shown in</w:t>
      </w:r>
      <w:r w:rsidR="00B06B91" w:rsidRPr="00521442">
        <w:rPr>
          <w:rFonts w:eastAsia="MS Mincho"/>
        </w:rPr>
        <w:t xml:space="preserve"> </w:t>
      </w:r>
      <w:r w:rsidR="00B06B91" w:rsidRPr="00521442">
        <w:rPr>
          <w:rFonts w:eastAsia="MS Mincho"/>
        </w:rPr>
        <w:fldChar w:fldCharType="begin"/>
      </w:r>
      <w:r w:rsidR="00B06B91" w:rsidRPr="00521442">
        <w:rPr>
          <w:rFonts w:eastAsia="MS Mincho"/>
        </w:rPr>
        <w:instrText xml:space="preserve"> REF _Ref525664107 \h </w:instrText>
      </w:r>
      <w:r w:rsidR="00B06B91" w:rsidRPr="00521442">
        <w:rPr>
          <w:rFonts w:eastAsia="MS Mincho"/>
        </w:rPr>
      </w:r>
      <w:r w:rsidR="00B06B91" w:rsidRPr="00521442">
        <w:rPr>
          <w:rFonts w:eastAsia="MS Mincho"/>
        </w:rPr>
        <w:fldChar w:fldCharType="separate"/>
      </w:r>
      <w:r w:rsidR="006F7DE5" w:rsidRPr="00521442">
        <w:t>Figure 13</w:t>
      </w:r>
      <w:r w:rsidR="00B06B91" w:rsidRPr="00521442">
        <w:rPr>
          <w:rFonts w:eastAsia="MS Mincho"/>
        </w:rPr>
        <w:fldChar w:fldCharType="end"/>
      </w:r>
      <w:r w:rsidR="00267E5E" w:rsidRPr="00521442">
        <w:rPr>
          <w:rFonts w:eastAsia="MS Mincho"/>
        </w:rPr>
        <w:t>.</w:t>
      </w:r>
    </w:p>
    <w:p w14:paraId="37575EEC" w14:textId="774069F8" w:rsidR="003A0ACF" w:rsidRPr="00521442" w:rsidRDefault="009A6B62" w:rsidP="000F76B5">
      <w:pPr>
        <w:pStyle w:val="ListParagraph"/>
        <w:numPr>
          <w:ilvl w:val="0"/>
          <w:numId w:val="3"/>
        </w:numPr>
        <w:overflowPunct w:val="0"/>
        <w:snapToGrid/>
        <w:spacing w:after="180"/>
        <w:textAlignment w:val="baseline"/>
        <w:rPr>
          <w:rFonts w:eastAsia="Malgun Gothic"/>
          <w:lang w:eastAsia="ko-KR"/>
        </w:rPr>
      </w:pPr>
      <w:r w:rsidRPr="00521442">
        <w:rPr>
          <w:rFonts w:eastAsia="Malgun Gothic"/>
          <w:b/>
          <w:u w:val="single"/>
          <w:lang w:eastAsia="ko-KR"/>
        </w:rPr>
        <w:t>O</w:t>
      </w:r>
      <w:r w:rsidR="00532C6A" w:rsidRPr="00521442">
        <w:rPr>
          <w:rFonts w:eastAsia="Malgun Gothic"/>
          <w:b/>
          <w:u w:val="single"/>
          <w:lang w:eastAsia="ko-KR"/>
        </w:rPr>
        <w:t>ption 1A</w:t>
      </w:r>
      <w:r w:rsidR="00532C6A" w:rsidRPr="00521442">
        <w:rPr>
          <w:rFonts w:eastAsia="Malgun Gothic"/>
          <w:lang w:eastAsia="ko-KR"/>
        </w:rPr>
        <w:t>:</w:t>
      </w:r>
      <w:r w:rsidR="00C65572" w:rsidRPr="00521442">
        <w:rPr>
          <w:rFonts w:eastAsia="Malgun Gothic"/>
          <w:lang w:eastAsia="ko-KR"/>
        </w:rPr>
        <w:t xml:space="preserve"> </w:t>
      </w:r>
      <w:r w:rsidR="00532C6A" w:rsidRPr="00521442">
        <w:rPr>
          <w:rFonts w:hint="eastAsia"/>
          <w:lang w:eastAsia="zh-CN"/>
        </w:rPr>
        <w:t>o</w:t>
      </w:r>
      <w:r w:rsidR="00532C6A" w:rsidRPr="00521442">
        <w:rPr>
          <w:lang w:eastAsia="zh-CN"/>
        </w:rPr>
        <w:t>ne fundamental basis is</w:t>
      </w:r>
      <w:r w:rsidR="00532C6A" w:rsidRPr="00521442">
        <w:rPr>
          <w:rFonts w:eastAsia="MS Mincho"/>
        </w:rPr>
        <w:t xml:space="preserve"> that the </w:t>
      </w:r>
      <w:r w:rsidR="006F7DE5" w:rsidRPr="00521442">
        <w:rPr>
          <w:rFonts w:eastAsia="MS Mincho"/>
        </w:rPr>
        <w:t xml:space="preserve">packet </w:t>
      </w:r>
      <w:r w:rsidR="00532C6A" w:rsidRPr="00521442">
        <w:rPr>
          <w:rFonts w:eastAsia="MS Mincho"/>
        </w:rPr>
        <w:t>size var</w:t>
      </w:r>
      <w:r w:rsidR="006F7DE5" w:rsidRPr="00521442">
        <w:rPr>
          <w:rFonts w:eastAsia="MS Mincho"/>
        </w:rPr>
        <w:t>ies</w:t>
      </w:r>
      <w:r w:rsidR="00532C6A" w:rsidRPr="00521442">
        <w:rPr>
          <w:rFonts w:eastAsia="MS Mincho"/>
        </w:rPr>
        <w:t xml:space="preserve"> significantly while the size of control information is usually fixed.</w:t>
      </w:r>
      <w:r w:rsidR="00842725" w:rsidRPr="00521442">
        <w:rPr>
          <w:rFonts w:eastAsia="MS Mincho"/>
        </w:rPr>
        <w:t xml:space="preserve"> </w:t>
      </w:r>
      <w:r w:rsidR="00532C6A" w:rsidRPr="00521442">
        <w:rPr>
          <w:rFonts w:eastAsia="Malgun Gothic"/>
          <w:lang w:eastAsia="ko-KR"/>
        </w:rPr>
        <w:t xml:space="preserve">In order </w:t>
      </w:r>
      <w:r w:rsidR="00752569" w:rsidRPr="00521442">
        <w:rPr>
          <w:rFonts w:eastAsia="Malgun Gothic"/>
          <w:lang w:eastAsia="ko-KR"/>
        </w:rPr>
        <w:t>for</w:t>
      </w:r>
      <w:r w:rsidR="00532C6A" w:rsidRPr="00521442">
        <w:rPr>
          <w:rFonts w:eastAsia="Malgun Gothic"/>
          <w:lang w:eastAsia="ko-KR"/>
        </w:rPr>
        <w:t xml:space="preserve"> the frequency resources used by the control and data to be </w:t>
      </w:r>
      <w:r w:rsidR="003A0ACF" w:rsidRPr="00521442">
        <w:rPr>
          <w:rFonts w:eastAsia="Malgun Gothic"/>
          <w:lang w:eastAsia="ko-KR"/>
        </w:rPr>
        <w:t>same, scalable</w:t>
      </w:r>
      <w:r w:rsidR="00532C6A" w:rsidRPr="00521442">
        <w:rPr>
          <w:rFonts w:eastAsia="Malgun Gothic"/>
          <w:lang w:eastAsia="ko-KR"/>
        </w:rPr>
        <w:t xml:space="preserve"> code rate</w:t>
      </w:r>
      <w:r w:rsidR="003A0ACF" w:rsidRPr="00521442">
        <w:rPr>
          <w:rFonts w:eastAsia="Malgun Gothic"/>
          <w:lang w:eastAsia="ko-KR"/>
        </w:rPr>
        <w:t>s</w:t>
      </w:r>
      <w:r w:rsidR="00532C6A" w:rsidRPr="00521442">
        <w:rPr>
          <w:rFonts w:eastAsia="Malgun Gothic"/>
          <w:lang w:eastAsia="ko-KR"/>
        </w:rPr>
        <w:t xml:space="preserve"> of control information </w:t>
      </w:r>
      <w:r w:rsidR="003A0ACF" w:rsidRPr="00521442">
        <w:rPr>
          <w:rFonts w:eastAsia="Malgun Gothic"/>
          <w:lang w:eastAsia="ko-KR"/>
        </w:rPr>
        <w:t xml:space="preserve">are </w:t>
      </w:r>
      <w:r w:rsidR="00532C6A" w:rsidRPr="00521442">
        <w:rPr>
          <w:rFonts w:eastAsia="Malgun Gothic"/>
          <w:lang w:eastAsia="ko-KR"/>
        </w:rPr>
        <w:t>needed</w:t>
      </w:r>
      <w:r w:rsidR="006A697A" w:rsidRPr="00521442">
        <w:rPr>
          <w:rFonts w:eastAsia="Malgun Gothic"/>
          <w:lang w:eastAsia="ko-KR"/>
        </w:rPr>
        <w:t>, although it is not clear why they would be necessary</w:t>
      </w:r>
      <w:r w:rsidR="003A0ACF" w:rsidRPr="00521442">
        <w:rPr>
          <w:rFonts w:eastAsia="Malgun Gothic"/>
          <w:lang w:eastAsia="ko-KR"/>
        </w:rPr>
        <w:t xml:space="preserve">. </w:t>
      </w:r>
      <w:r w:rsidR="00D26C2B" w:rsidRPr="00521442">
        <w:rPr>
          <w:rFonts w:eastAsia="Malgun Gothic"/>
          <w:lang w:eastAsia="ko-KR"/>
        </w:rPr>
        <w:t xml:space="preserve">In addition to scalable code rates, the receiving UE(s) are unaware of frequency resource of </w:t>
      </w:r>
      <w:r w:rsidR="004C35EF" w:rsidRPr="00521442">
        <w:rPr>
          <w:rFonts w:eastAsia="Malgun Gothic"/>
          <w:lang w:eastAsia="ko-KR"/>
        </w:rPr>
        <w:t xml:space="preserve">the </w:t>
      </w:r>
      <w:r w:rsidR="002B2DFB" w:rsidRPr="00521442">
        <w:rPr>
          <w:rFonts w:eastAsia="Malgun Gothic"/>
          <w:lang w:eastAsia="ko-KR"/>
        </w:rPr>
        <w:t xml:space="preserve">SA </w:t>
      </w:r>
      <w:r w:rsidR="00D26C2B" w:rsidRPr="00521442">
        <w:rPr>
          <w:rFonts w:eastAsia="Malgun Gothic"/>
          <w:lang w:eastAsia="ko-KR"/>
        </w:rPr>
        <w:t xml:space="preserve">and therefore </w:t>
      </w:r>
      <w:r w:rsidR="00FE5011" w:rsidRPr="00521442">
        <w:rPr>
          <w:rFonts w:eastAsia="Malgun Gothic"/>
          <w:lang w:eastAsia="ko-KR"/>
        </w:rPr>
        <w:t xml:space="preserve">have to perform </w:t>
      </w:r>
      <w:r w:rsidR="00D26C2B" w:rsidRPr="00521442">
        <w:rPr>
          <w:rFonts w:eastAsia="Malgun Gothic"/>
          <w:lang w:eastAsia="ko-KR"/>
        </w:rPr>
        <w:t xml:space="preserve">blinding coding </w:t>
      </w:r>
      <w:r w:rsidR="002B2DFB" w:rsidRPr="00521442">
        <w:rPr>
          <w:rFonts w:eastAsia="Malgun Gothic"/>
          <w:lang w:eastAsia="ko-KR"/>
        </w:rPr>
        <w:t>for all possible locations.</w:t>
      </w:r>
    </w:p>
    <w:p w14:paraId="4DBD0E4B" w14:textId="12847AB7" w:rsidR="00C4633B" w:rsidRPr="00521442" w:rsidRDefault="009A6B62" w:rsidP="00590E9E">
      <w:pPr>
        <w:pStyle w:val="ListParagraph"/>
        <w:numPr>
          <w:ilvl w:val="0"/>
          <w:numId w:val="3"/>
        </w:numPr>
        <w:overflowPunct w:val="0"/>
        <w:snapToGrid/>
        <w:spacing w:after="180"/>
        <w:textAlignment w:val="baseline"/>
        <w:rPr>
          <w:rFonts w:eastAsia="Malgun Gothic"/>
          <w:lang w:eastAsia="ko-KR"/>
        </w:rPr>
      </w:pPr>
      <w:r w:rsidRPr="00521442">
        <w:rPr>
          <w:rFonts w:eastAsia="Malgun Gothic"/>
          <w:b/>
          <w:u w:val="single"/>
          <w:lang w:eastAsia="ko-KR"/>
        </w:rPr>
        <w:t>O</w:t>
      </w:r>
      <w:r w:rsidR="00532C6A" w:rsidRPr="00521442">
        <w:rPr>
          <w:rFonts w:eastAsia="Malgun Gothic"/>
          <w:b/>
          <w:u w:val="single"/>
          <w:lang w:eastAsia="ko-KR"/>
        </w:rPr>
        <w:t>ption 1B</w:t>
      </w:r>
      <w:r w:rsidR="00532C6A" w:rsidRPr="00521442">
        <w:rPr>
          <w:rFonts w:eastAsia="Malgun Gothic"/>
          <w:lang w:eastAsia="ko-KR"/>
        </w:rPr>
        <w:t xml:space="preserve">: </w:t>
      </w:r>
      <w:r w:rsidR="007C0690" w:rsidRPr="00521442">
        <w:rPr>
          <w:rFonts w:eastAsia="MS Mincho"/>
        </w:rPr>
        <w:t xml:space="preserve">Compared with option 1A, </w:t>
      </w:r>
      <w:r w:rsidR="000D106B" w:rsidRPr="00521442">
        <w:rPr>
          <w:rFonts w:eastAsia="MS Mincho"/>
        </w:rPr>
        <w:t>o</w:t>
      </w:r>
      <w:r w:rsidR="00C4633B" w:rsidRPr="00521442">
        <w:rPr>
          <w:rFonts w:eastAsia="MS Mincho"/>
        </w:rPr>
        <w:t>ption 1</w:t>
      </w:r>
      <w:r w:rsidR="000D106B" w:rsidRPr="00521442">
        <w:rPr>
          <w:rFonts w:eastAsia="MS Mincho"/>
        </w:rPr>
        <w:t>B</w:t>
      </w:r>
      <w:r w:rsidR="00C4633B" w:rsidRPr="00521442">
        <w:rPr>
          <w:rFonts w:eastAsia="MS Mincho"/>
        </w:rPr>
        <w:t xml:space="preserve"> has </w:t>
      </w:r>
      <w:r w:rsidR="007C0690" w:rsidRPr="00521442">
        <w:rPr>
          <w:rFonts w:eastAsia="MS Mincho"/>
        </w:rPr>
        <w:t>le</w:t>
      </w:r>
      <w:r w:rsidR="00C4633B" w:rsidRPr="00521442">
        <w:rPr>
          <w:rFonts w:eastAsia="MS Mincho"/>
        </w:rPr>
        <w:t>ss complexity on blind decoding</w:t>
      </w:r>
      <w:r w:rsidR="006A697A" w:rsidRPr="00521442">
        <w:rPr>
          <w:rFonts w:eastAsia="MS Mincho"/>
        </w:rPr>
        <w:t xml:space="preserve"> because the resource dimensions of SA can be known independently of the data dimensions</w:t>
      </w:r>
      <w:r w:rsidR="00C4633B" w:rsidRPr="00521442">
        <w:rPr>
          <w:rFonts w:eastAsia="MS Mincho"/>
        </w:rPr>
        <w:t>.</w:t>
      </w:r>
      <w:r w:rsidR="007C0690" w:rsidRPr="00521442">
        <w:rPr>
          <w:rFonts w:eastAsia="MS Mincho"/>
        </w:rPr>
        <w:t xml:space="preserve"> </w:t>
      </w:r>
      <w:r w:rsidR="00F3067E" w:rsidRPr="00521442">
        <w:rPr>
          <w:rFonts w:eastAsia="MS Mincho"/>
        </w:rPr>
        <w:t>However</w:t>
      </w:r>
      <w:r w:rsidR="002B2DFB" w:rsidRPr="00521442">
        <w:rPr>
          <w:rFonts w:eastAsia="MS Mincho"/>
        </w:rPr>
        <w:t>, t</w:t>
      </w:r>
      <w:r w:rsidR="009920C0" w:rsidRPr="00521442">
        <w:rPr>
          <w:rFonts w:eastAsia="MS Mincho"/>
        </w:rPr>
        <w:t>he f</w:t>
      </w:r>
      <w:r w:rsidR="004E3A50" w:rsidRPr="00521442">
        <w:rPr>
          <w:rFonts w:eastAsia="MS Mincho"/>
        </w:rPr>
        <w:t xml:space="preserve">irst OFDM symbol </w:t>
      </w:r>
      <w:r w:rsidR="009920C0" w:rsidRPr="00521442">
        <w:rPr>
          <w:rFonts w:eastAsia="MS Mincho"/>
        </w:rPr>
        <w:t>is</w:t>
      </w:r>
      <w:r w:rsidR="004E3A50" w:rsidRPr="00521442">
        <w:rPr>
          <w:rFonts w:eastAsia="MS Mincho"/>
        </w:rPr>
        <w:t xml:space="preserve"> </w:t>
      </w:r>
      <w:r w:rsidR="001647D9" w:rsidRPr="00521442">
        <w:rPr>
          <w:rFonts w:eastAsia="MS Mincho"/>
        </w:rPr>
        <w:t xml:space="preserve">usually </w:t>
      </w:r>
      <w:r w:rsidR="004E3A50" w:rsidRPr="00521442">
        <w:rPr>
          <w:rFonts w:eastAsia="MS Mincho"/>
        </w:rPr>
        <w:t>used for AGC processing</w:t>
      </w:r>
      <w:r w:rsidR="001647D9" w:rsidRPr="00521442">
        <w:rPr>
          <w:rFonts w:eastAsia="MS Mincho"/>
        </w:rPr>
        <w:t xml:space="preserve">. </w:t>
      </w:r>
      <w:r w:rsidR="002B2DFB" w:rsidRPr="00521442">
        <w:rPr>
          <w:rFonts w:eastAsia="MS Mincho"/>
        </w:rPr>
        <w:t xml:space="preserve">When </w:t>
      </w:r>
      <w:r w:rsidR="00013691" w:rsidRPr="00521442">
        <w:rPr>
          <w:rFonts w:eastAsia="MS Mincho"/>
        </w:rPr>
        <w:t>t</w:t>
      </w:r>
      <w:r w:rsidR="004E3A50" w:rsidRPr="00521442">
        <w:rPr>
          <w:rFonts w:eastAsia="MS Mincho"/>
        </w:rPr>
        <w:t>he frequency resources of SA and data are different</w:t>
      </w:r>
      <w:r w:rsidR="009920C0" w:rsidRPr="00521442">
        <w:rPr>
          <w:rFonts w:eastAsia="MS Mincho"/>
        </w:rPr>
        <w:t xml:space="preserve">, </w:t>
      </w:r>
      <w:r w:rsidR="00013691" w:rsidRPr="00521442">
        <w:rPr>
          <w:rFonts w:eastAsia="MS Mincho"/>
        </w:rPr>
        <w:t xml:space="preserve">in order for AGC performance, the </w:t>
      </w:r>
      <w:r w:rsidR="001647D9" w:rsidRPr="00521442">
        <w:rPr>
          <w:rFonts w:eastAsia="MS Mincho"/>
        </w:rPr>
        <w:t xml:space="preserve">power density of SA </w:t>
      </w:r>
      <w:r w:rsidR="00ED17A7" w:rsidRPr="00521442">
        <w:rPr>
          <w:rFonts w:eastAsia="MS Mincho"/>
        </w:rPr>
        <w:t xml:space="preserve">and data symbols </w:t>
      </w:r>
      <w:r w:rsidR="00013691" w:rsidRPr="00521442">
        <w:rPr>
          <w:rFonts w:eastAsia="MS Mincho"/>
        </w:rPr>
        <w:t>has to be</w:t>
      </w:r>
      <w:r w:rsidR="00ED17A7" w:rsidRPr="00521442">
        <w:rPr>
          <w:rFonts w:eastAsia="MS Mincho"/>
        </w:rPr>
        <w:t xml:space="preserve"> </w:t>
      </w:r>
      <w:r w:rsidR="00013691" w:rsidRPr="00521442">
        <w:rPr>
          <w:rFonts w:eastAsia="MS Mincho"/>
        </w:rPr>
        <w:t>same.</w:t>
      </w:r>
      <w:r w:rsidR="00ED17A7" w:rsidRPr="00521442">
        <w:rPr>
          <w:rFonts w:eastAsia="MS Mincho"/>
        </w:rPr>
        <w:t xml:space="preserve"> </w:t>
      </w:r>
      <w:r w:rsidR="002B2DFB" w:rsidRPr="00521442">
        <w:rPr>
          <w:rFonts w:eastAsia="MS Mincho"/>
        </w:rPr>
        <w:t>T</w:t>
      </w:r>
      <w:r w:rsidR="00C4633B" w:rsidRPr="00521442">
        <w:rPr>
          <w:rFonts w:eastAsia="MS Mincho"/>
        </w:rPr>
        <w:t xml:space="preserve">he unoccupied </w:t>
      </w:r>
      <w:r w:rsidR="009920C0" w:rsidRPr="00521442">
        <w:rPr>
          <w:rFonts w:eastAsia="MS Mincho"/>
        </w:rPr>
        <w:t xml:space="preserve">RB </w:t>
      </w:r>
      <w:r w:rsidR="00360CA4" w:rsidRPr="00521442">
        <w:rPr>
          <w:rFonts w:eastAsia="MS Mincho"/>
        </w:rPr>
        <w:t>resource (</w:t>
      </w:r>
      <w:r w:rsidR="009920C0" w:rsidRPr="00521442">
        <w:rPr>
          <w:rFonts w:eastAsia="MS Mincho"/>
        </w:rPr>
        <w:t>RB</w:t>
      </w:r>
      <w:r w:rsidR="00360CA4" w:rsidRPr="00521442">
        <w:rPr>
          <w:rFonts w:eastAsia="MS Mincho"/>
        </w:rPr>
        <w:t xml:space="preserve"> resource of data is larger than that of SA)</w:t>
      </w:r>
      <w:r w:rsidR="00C4633B" w:rsidRPr="00521442">
        <w:rPr>
          <w:rFonts w:eastAsia="MS Mincho"/>
        </w:rPr>
        <w:t xml:space="preserve"> cannot be allocated for other UEs</w:t>
      </w:r>
      <w:r w:rsidR="00360CA4" w:rsidRPr="00521442">
        <w:rPr>
          <w:rFonts w:eastAsia="MS Mincho"/>
        </w:rPr>
        <w:t xml:space="preserve"> for transmission </w:t>
      </w:r>
      <w:r w:rsidR="00013691" w:rsidRPr="00521442">
        <w:rPr>
          <w:rFonts w:eastAsia="MS Mincho"/>
        </w:rPr>
        <w:t>to avoid AGC duplication on the first OFDM symbol of a slot</w:t>
      </w:r>
      <w:r w:rsidR="00360CA4" w:rsidRPr="00521442">
        <w:rPr>
          <w:rFonts w:eastAsia="MS Mincho"/>
        </w:rPr>
        <w:t xml:space="preserve">. This results in </w:t>
      </w:r>
      <w:r w:rsidR="00360CA4" w:rsidRPr="00521442">
        <w:rPr>
          <w:lang w:eastAsia="zh-CN"/>
        </w:rPr>
        <w:t>resource utilization inefficiency</w:t>
      </w:r>
      <w:r w:rsidR="00360CA4" w:rsidRPr="00521442">
        <w:rPr>
          <w:rFonts w:eastAsia="MS Mincho"/>
        </w:rPr>
        <w:t>, particularly when data payload is large.</w:t>
      </w:r>
    </w:p>
    <w:p w14:paraId="6E2CA6D0" w14:textId="54F003CB" w:rsidR="00641B15" w:rsidRPr="00521442" w:rsidRDefault="009A6B62" w:rsidP="00A24468">
      <w:pPr>
        <w:pStyle w:val="ListParagraph"/>
        <w:numPr>
          <w:ilvl w:val="0"/>
          <w:numId w:val="3"/>
        </w:numPr>
        <w:overflowPunct w:val="0"/>
        <w:snapToGrid/>
        <w:spacing w:after="180"/>
        <w:textAlignment w:val="baseline"/>
        <w:rPr>
          <w:rFonts w:eastAsia="Malgun Gothic"/>
          <w:lang w:eastAsia="ko-KR"/>
        </w:rPr>
      </w:pPr>
      <w:r w:rsidRPr="00521442">
        <w:rPr>
          <w:rFonts w:eastAsia="Malgun Gothic"/>
          <w:b/>
          <w:u w:val="single"/>
          <w:lang w:eastAsia="ko-KR"/>
        </w:rPr>
        <w:t>O</w:t>
      </w:r>
      <w:r w:rsidR="00532C6A" w:rsidRPr="00521442">
        <w:rPr>
          <w:rFonts w:eastAsia="Malgun Gothic"/>
          <w:b/>
          <w:u w:val="single"/>
          <w:lang w:eastAsia="ko-KR"/>
        </w:rPr>
        <w:t>ption 3</w:t>
      </w:r>
      <w:r w:rsidR="00532C6A" w:rsidRPr="00521442">
        <w:rPr>
          <w:rFonts w:eastAsia="Malgun Gothic"/>
          <w:lang w:eastAsia="ko-KR"/>
        </w:rPr>
        <w:t>:</w:t>
      </w:r>
      <w:r w:rsidR="00EA4533" w:rsidRPr="00521442">
        <w:rPr>
          <w:rFonts w:eastAsia="Malgun Gothic"/>
          <w:lang w:eastAsia="ko-KR"/>
        </w:rPr>
        <w:t xml:space="preserve"> </w:t>
      </w:r>
      <w:r w:rsidR="00ED17A7" w:rsidRPr="00521442">
        <w:rPr>
          <w:rFonts w:eastAsia="Malgun Gothic"/>
          <w:lang w:eastAsia="ko-KR"/>
        </w:rPr>
        <w:t xml:space="preserve">One of the drawbacks in option 3 </w:t>
      </w:r>
      <w:r w:rsidR="00590E9E" w:rsidRPr="00521442">
        <w:rPr>
          <w:rFonts w:eastAsia="Malgun Gothic"/>
          <w:lang w:eastAsia="ko-KR"/>
        </w:rPr>
        <w:t>compare</w:t>
      </w:r>
      <w:r w:rsidR="0048758E" w:rsidRPr="00521442">
        <w:rPr>
          <w:rFonts w:eastAsia="Malgun Gothic"/>
          <w:lang w:eastAsia="ko-KR"/>
        </w:rPr>
        <w:t>d</w:t>
      </w:r>
      <w:r w:rsidR="00590E9E" w:rsidRPr="00521442">
        <w:rPr>
          <w:rFonts w:eastAsia="Malgun Gothic"/>
          <w:lang w:eastAsia="ko-KR"/>
        </w:rPr>
        <w:t xml:space="preserve"> with option 1A and 1B </w:t>
      </w:r>
      <w:r w:rsidR="00ED17A7" w:rsidRPr="00521442">
        <w:rPr>
          <w:rFonts w:eastAsia="Malgun Gothic"/>
          <w:lang w:eastAsia="ko-KR"/>
        </w:rPr>
        <w:t>is the SA coverage, since SA and data share a few symbols in time domain. In order for SA reliability, a power boost may likely be applied to SA over data</w:t>
      </w:r>
      <w:r w:rsidR="002B2DFB" w:rsidRPr="00521442">
        <w:rPr>
          <w:rFonts w:eastAsia="Malgun Gothic"/>
          <w:lang w:eastAsia="ko-KR"/>
        </w:rPr>
        <w:t xml:space="preserve">, e.g. 3 </w:t>
      </w:r>
      <w:r w:rsidR="00D57FEE" w:rsidRPr="00521442">
        <w:rPr>
          <w:rFonts w:eastAsia="Malgun Gothic"/>
          <w:lang w:eastAsia="ko-KR"/>
        </w:rPr>
        <w:t>dB.</w:t>
      </w:r>
      <w:r w:rsidR="00641B15" w:rsidRPr="00521442">
        <w:rPr>
          <w:rFonts w:eastAsia="Malgun Gothic"/>
          <w:lang w:eastAsia="ko-KR"/>
        </w:rPr>
        <w:t xml:space="preserve"> T</w:t>
      </w:r>
      <w:r w:rsidR="00ED17A7" w:rsidRPr="00521442">
        <w:rPr>
          <w:rFonts w:eastAsia="Malgun Gothic"/>
          <w:lang w:eastAsia="ko-KR"/>
        </w:rPr>
        <w:t>his results in power density imbalance between SA and data (non-overlapping</w:t>
      </w:r>
      <w:r w:rsidR="002B2DFB" w:rsidRPr="00521442">
        <w:rPr>
          <w:rFonts w:eastAsia="Malgun Gothic"/>
          <w:lang w:eastAsia="ko-KR"/>
        </w:rPr>
        <w:t xml:space="preserve"> part</w:t>
      </w:r>
      <w:r w:rsidR="00ED17A7" w:rsidRPr="00521442">
        <w:rPr>
          <w:rFonts w:eastAsia="Malgun Gothic"/>
          <w:lang w:eastAsia="ko-KR"/>
        </w:rPr>
        <w:t xml:space="preserve"> with SA)</w:t>
      </w:r>
      <w:r w:rsidR="00641B15" w:rsidRPr="00521442">
        <w:rPr>
          <w:rFonts w:eastAsia="Malgun Gothic"/>
          <w:lang w:eastAsia="ko-KR"/>
        </w:rPr>
        <w:t xml:space="preserve"> symbols and therefore </w:t>
      </w:r>
      <w:r w:rsidR="002B2DFB" w:rsidRPr="00521442">
        <w:rPr>
          <w:rFonts w:eastAsia="Malgun Gothic"/>
          <w:lang w:eastAsia="ko-KR"/>
        </w:rPr>
        <w:t xml:space="preserve">affects </w:t>
      </w:r>
      <w:r w:rsidR="00641B15" w:rsidRPr="00521442">
        <w:rPr>
          <w:rFonts w:eastAsia="Malgun Gothic"/>
          <w:lang w:eastAsia="ko-KR"/>
        </w:rPr>
        <w:t>AGC performance</w:t>
      </w:r>
      <w:r w:rsidR="002B2DFB" w:rsidRPr="00521442">
        <w:rPr>
          <w:rFonts w:eastAsia="Malgun Gothic"/>
          <w:lang w:eastAsia="ko-KR"/>
        </w:rPr>
        <w:t xml:space="preserve"> on first OFDM symbol</w:t>
      </w:r>
      <w:r w:rsidR="00641B15" w:rsidRPr="00521442">
        <w:rPr>
          <w:rFonts w:eastAsia="Malgun Gothic"/>
          <w:lang w:eastAsia="ko-KR"/>
        </w:rPr>
        <w:t xml:space="preserve">. </w:t>
      </w:r>
      <w:r w:rsidR="00C4633B" w:rsidRPr="00521442">
        <w:rPr>
          <w:rFonts w:eastAsia="Malgun Gothic"/>
          <w:lang w:eastAsia="ko-KR"/>
        </w:rPr>
        <w:t xml:space="preserve">In terms of blind decoding, </w:t>
      </w:r>
      <w:r w:rsidR="00360CA4" w:rsidRPr="00521442">
        <w:rPr>
          <w:rFonts w:eastAsia="Malgun Gothic"/>
          <w:lang w:eastAsia="ko-KR"/>
        </w:rPr>
        <w:t xml:space="preserve">option 3 </w:t>
      </w:r>
      <w:r w:rsidR="00F3067E" w:rsidRPr="00521442">
        <w:rPr>
          <w:rFonts w:eastAsia="Malgun Gothic"/>
          <w:lang w:eastAsia="ko-KR"/>
        </w:rPr>
        <w:t>can also have known SA resource dimensions</w:t>
      </w:r>
      <w:r w:rsidR="00360CA4" w:rsidRPr="00521442">
        <w:rPr>
          <w:rFonts w:eastAsia="Malgun Gothic"/>
          <w:lang w:eastAsia="ko-KR"/>
        </w:rPr>
        <w:t>.</w:t>
      </w:r>
      <w:r w:rsidR="00C4633B" w:rsidRPr="00521442">
        <w:rPr>
          <w:rFonts w:eastAsia="Malgun Gothic"/>
          <w:lang w:eastAsia="ko-KR"/>
        </w:rPr>
        <w:t xml:space="preserve"> </w:t>
      </w:r>
      <w:r w:rsidR="00360CA4" w:rsidRPr="00521442">
        <w:rPr>
          <w:lang w:eastAsia="zh-CN"/>
        </w:rPr>
        <w:t>Most significantly, option 3 achieves highest utilization efficiency among all proposed TDM options.</w:t>
      </w:r>
    </w:p>
    <w:p w14:paraId="70FF5A89" w14:textId="77777777" w:rsidR="00B06B91" w:rsidRPr="00521442" w:rsidRDefault="00F363EB" w:rsidP="00B06B91">
      <w:pPr>
        <w:keepNext/>
        <w:jc w:val="center"/>
      </w:pPr>
      <w:r w:rsidRPr="00521442">
        <w:rPr>
          <w:noProof/>
        </w:rPr>
        <w:drawing>
          <wp:inline distT="0" distB="0" distL="0" distR="0" wp14:anchorId="7668C34C" wp14:editId="2C193AD0">
            <wp:extent cx="3391535" cy="146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1535" cy="1460500"/>
                    </a:xfrm>
                    <a:prstGeom prst="rect">
                      <a:avLst/>
                    </a:prstGeom>
                    <a:noFill/>
                    <a:ln>
                      <a:noFill/>
                    </a:ln>
                  </pic:spPr>
                </pic:pic>
              </a:graphicData>
            </a:graphic>
          </wp:inline>
        </w:drawing>
      </w:r>
    </w:p>
    <w:p w14:paraId="42086755" w14:textId="77F266BD" w:rsidR="00641B15" w:rsidRPr="00521442" w:rsidRDefault="00B06B91" w:rsidP="003F60C8">
      <w:pPr>
        <w:pStyle w:val="Caption"/>
        <w:rPr>
          <w:bCs w:val="0"/>
        </w:rPr>
      </w:pPr>
      <w:bookmarkStart w:id="23" w:name="_Ref525664107"/>
      <w:r w:rsidRPr="00521442">
        <w:t xml:space="preserve">Figure </w:t>
      </w:r>
      <w:fldSimple w:instr=" SEQ Figure \* ARABIC ">
        <w:r w:rsidR="006F7DE5" w:rsidRPr="00521442">
          <w:t>13</w:t>
        </w:r>
      </w:fldSimple>
      <w:bookmarkEnd w:id="23"/>
      <w:r w:rsidRPr="00521442">
        <w:t>. T</w:t>
      </w:r>
      <w:bookmarkStart w:id="24" w:name="_Ref521602583"/>
      <w:r w:rsidR="00AA74EB" w:rsidRPr="00521442">
        <w:rPr>
          <w:bCs w:val="0"/>
        </w:rPr>
        <w:t>DM of SA and Data in one slot</w:t>
      </w:r>
      <w:bookmarkEnd w:id="24"/>
    </w:p>
    <w:p w14:paraId="30B80BE3" w14:textId="140E18F8" w:rsidR="00FA6663" w:rsidRPr="00521442" w:rsidRDefault="00FA6663" w:rsidP="000F76B5">
      <w:pPr>
        <w:rPr>
          <w:rFonts w:eastAsia="MS Mincho"/>
          <w:b/>
          <w:i/>
        </w:rPr>
      </w:pPr>
      <w:r w:rsidRPr="00521442">
        <w:rPr>
          <w:rFonts w:eastAsia="MS Mincho"/>
          <w:b/>
          <w:i/>
        </w:rPr>
        <w:t xml:space="preserve">Proposal </w:t>
      </w:r>
      <w:r w:rsidR="00AE21BB" w:rsidRPr="00521442">
        <w:rPr>
          <w:rFonts w:eastAsia="MS Mincho"/>
          <w:b/>
          <w:i/>
        </w:rPr>
        <w:t>1</w:t>
      </w:r>
      <w:r w:rsidR="00076B62" w:rsidRPr="00521442">
        <w:rPr>
          <w:rFonts w:eastAsia="MS Mincho"/>
          <w:b/>
          <w:i/>
        </w:rPr>
        <w:t>2</w:t>
      </w:r>
      <w:r w:rsidRPr="00521442">
        <w:rPr>
          <w:rFonts w:eastAsia="MS Mincho"/>
          <w:b/>
          <w:i/>
        </w:rPr>
        <w:t xml:space="preserve">: </w:t>
      </w:r>
      <w:r w:rsidR="00C96553" w:rsidRPr="00521442">
        <w:rPr>
          <w:rFonts w:eastAsia="MS Mincho"/>
          <w:b/>
          <w:i/>
        </w:rPr>
        <w:t xml:space="preserve">Support </w:t>
      </w:r>
      <w:r w:rsidR="00641B15" w:rsidRPr="00521442">
        <w:rPr>
          <w:rFonts w:eastAsia="MS Mincho"/>
          <w:b/>
          <w:i/>
        </w:rPr>
        <w:t xml:space="preserve">both option 2 and </w:t>
      </w:r>
      <w:r w:rsidR="00C96553" w:rsidRPr="00521442">
        <w:rPr>
          <w:rFonts w:eastAsia="MS Mincho"/>
          <w:b/>
          <w:i/>
        </w:rPr>
        <w:t xml:space="preserve">option </w:t>
      </w:r>
      <w:r w:rsidR="000D106B" w:rsidRPr="00521442">
        <w:rPr>
          <w:rFonts w:eastAsia="MS Mincho"/>
          <w:b/>
          <w:i/>
        </w:rPr>
        <w:t>3</w:t>
      </w:r>
      <w:r w:rsidR="00C96553" w:rsidRPr="00521442">
        <w:rPr>
          <w:rFonts w:eastAsia="MS Mincho"/>
          <w:b/>
          <w:i/>
        </w:rPr>
        <w:t xml:space="preserve"> for multiplexing of PSCCH and associated PSSCH</w:t>
      </w:r>
      <w:r w:rsidR="0070321B" w:rsidRPr="00521442">
        <w:rPr>
          <w:rFonts w:eastAsia="MS Mincho"/>
          <w:b/>
          <w:i/>
        </w:rPr>
        <w:t>.</w:t>
      </w:r>
    </w:p>
    <w:p w14:paraId="0A13F31A" w14:textId="11EC6888" w:rsidR="00AA74EB" w:rsidRPr="00521442" w:rsidRDefault="00D82B27" w:rsidP="000F76B5">
      <w:pPr>
        <w:snapToGrid/>
        <w:rPr>
          <w:rFonts w:eastAsia="MS Mincho"/>
        </w:rPr>
      </w:pPr>
      <w:r w:rsidRPr="00521442">
        <w:rPr>
          <w:rFonts w:eastAsia="MS Mincho"/>
        </w:rPr>
        <w:t>There is a further question on how different SA+data pairs can be multiplexed, from the transmitter perspective and from the receiver detection perspective</w:t>
      </w:r>
      <w:r w:rsidR="003F60C8" w:rsidRPr="00521442">
        <w:rPr>
          <w:rFonts w:eastAsia="MS Mincho"/>
        </w:rPr>
        <w:t>.</w:t>
      </w:r>
      <w:r w:rsidR="003F60C8" w:rsidRPr="00521442">
        <w:rPr>
          <w:rFonts w:eastAsiaTheme="minorEastAsia" w:hint="eastAsia"/>
          <w:lang w:eastAsia="zh-CN"/>
        </w:rPr>
        <w:t xml:space="preserve"> </w:t>
      </w:r>
      <w:r w:rsidR="007B439D" w:rsidRPr="00521442">
        <w:rPr>
          <w:rFonts w:eastAsia="MS Mincho"/>
        </w:rPr>
        <w:t>There are two options to consider support multiplexing of two structures</w:t>
      </w:r>
      <w:r w:rsidR="00F6089B" w:rsidRPr="00521442">
        <w:rPr>
          <w:rFonts w:eastAsia="MS Mincho"/>
        </w:rPr>
        <w:t>:</w:t>
      </w:r>
    </w:p>
    <w:p w14:paraId="53F1666A" w14:textId="57F30D41" w:rsidR="002B492F" w:rsidRPr="00521442" w:rsidRDefault="002B492F" w:rsidP="002B492F">
      <w:pPr>
        <w:pStyle w:val="ListParagraph"/>
        <w:numPr>
          <w:ilvl w:val="0"/>
          <w:numId w:val="3"/>
        </w:numPr>
        <w:overflowPunct w:val="0"/>
        <w:snapToGrid/>
        <w:spacing w:after="180"/>
        <w:textAlignment w:val="baseline"/>
        <w:rPr>
          <w:rFonts w:eastAsia="Malgun Gothic"/>
          <w:b/>
          <w:u w:val="single"/>
          <w:lang w:eastAsia="ko-KR"/>
        </w:rPr>
      </w:pPr>
      <w:r w:rsidRPr="00521442">
        <w:rPr>
          <w:rFonts w:eastAsia="Malgun Gothic"/>
          <w:b/>
          <w:u w:val="single"/>
          <w:lang w:eastAsia="ko-KR"/>
        </w:rPr>
        <w:t>Option 1 TDM and FDM multiplexing in orthogonal resource pools</w:t>
      </w:r>
      <w:r w:rsidR="00F6089B" w:rsidRPr="00521442">
        <w:rPr>
          <w:rFonts w:eastAsia="Malgun Gothic"/>
          <w:lang w:eastAsia="ko-KR"/>
        </w:rPr>
        <w:t xml:space="preserve"> (shown in</w:t>
      </w:r>
      <w:r w:rsidR="00B06B91" w:rsidRPr="00521442">
        <w:rPr>
          <w:rFonts w:eastAsia="Malgun Gothic"/>
          <w:lang w:eastAsia="ko-KR"/>
        </w:rPr>
        <w:t xml:space="preserve"> </w:t>
      </w:r>
      <w:r w:rsidR="00B06B91" w:rsidRPr="00521442">
        <w:rPr>
          <w:rFonts w:eastAsia="Malgun Gothic"/>
          <w:lang w:eastAsia="ko-KR"/>
        </w:rPr>
        <w:fldChar w:fldCharType="begin"/>
      </w:r>
      <w:r w:rsidR="00B06B91" w:rsidRPr="00521442">
        <w:rPr>
          <w:rFonts w:eastAsia="Malgun Gothic"/>
          <w:lang w:eastAsia="ko-KR"/>
        </w:rPr>
        <w:instrText xml:space="preserve"> REF _Ref525664150 \h </w:instrText>
      </w:r>
      <w:r w:rsidR="00B06B91" w:rsidRPr="00521442">
        <w:rPr>
          <w:rFonts w:eastAsia="Malgun Gothic"/>
          <w:lang w:eastAsia="ko-KR"/>
        </w:rPr>
      </w:r>
      <w:r w:rsidR="00B06B91" w:rsidRPr="00521442">
        <w:rPr>
          <w:rFonts w:eastAsia="Malgun Gothic"/>
          <w:lang w:eastAsia="ko-KR"/>
        </w:rPr>
        <w:fldChar w:fldCharType="separate"/>
      </w:r>
      <w:r w:rsidR="004B1740" w:rsidRPr="00521442">
        <w:t>Figure 14</w:t>
      </w:r>
      <w:r w:rsidR="00B06B91" w:rsidRPr="00521442">
        <w:rPr>
          <w:rFonts w:eastAsia="Malgun Gothic"/>
          <w:lang w:eastAsia="ko-KR"/>
        </w:rPr>
        <w:fldChar w:fldCharType="end"/>
      </w:r>
      <w:r w:rsidR="00F6089B" w:rsidRPr="00521442">
        <w:rPr>
          <w:rFonts w:eastAsia="Malgun Gothic"/>
          <w:lang w:eastAsia="ko-KR"/>
        </w:rPr>
        <w:t>)</w:t>
      </w:r>
      <w:r w:rsidRPr="00521442">
        <w:rPr>
          <w:rFonts w:eastAsia="Malgun Gothic"/>
          <w:lang w:eastAsia="ko-KR"/>
        </w:rPr>
        <w:t>:</w:t>
      </w:r>
      <w:r w:rsidRPr="00521442">
        <w:rPr>
          <w:rFonts w:eastAsia="MS Mincho"/>
        </w:rPr>
        <w:t xml:space="preserve"> This </w:t>
      </w:r>
      <w:r w:rsidR="00B8393D" w:rsidRPr="00521442">
        <w:rPr>
          <w:rFonts w:eastAsia="MS Mincho"/>
        </w:rPr>
        <w:t xml:space="preserve">aids </w:t>
      </w:r>
      <w:r w:rsidRPr="00521442">
        <w:rPr>
          <w:rFonts w:eastAsia="MS Mincho"/>
        </w:rPr>
        <w:t>UE complexity by partition</w:t>
      </w:r>
      <w:r w:rsidR="003F2839" w:rsidRPr="00521442">
        <w:rPr>
          <w:rFonts w:eastAsia="MS Mincho"/>
        </w:rPr>
        <w:t>ing</w:t>
      </w:r>
      <w:r w:rsidRPr="00521442">
        <w:rPr>
          <w:rFonts w:eastAsia="MS Mincho"/>
        </w:rPr>
        <w:t xml:space="preserve"> of resource pools into two categories: either TDM or </w:t>
      </w:r>
      <w:r w:rsidRPr="00521442">
        <w:rPr>
          <w:rFonts w:eastAsia="MS Mincho"/>
        </w:rPr>
        <w:lastRenderedPageBreak/>
        <w:t>FDM structure</w:t>
      </w:r>
      <w:r w:rsidR="003F60C8" w:rsidRPr="00521442">
        <w:rPr>
          <w:rFonts w:eastAsia="MS Mincho"/>
        </w:rPr>
        <w:t xml:space="preserve"> per resource pool</w:t>
      </w:r>
      <w:r w:rsidRPr="00521442">
        <w:rPr>
          <w:rFonts w:eastAsia="MS Mincho"/>
        </w:rPr>
        <w:t xml:space="preserve">, i.e. a UE is (pre)configured to transmit or receive </w:t>
      </w:r>
      <w:r w:rsidR="000B70D3" w:rsidRPr="00521442">
        <w:rPr>
          <w:rFonts w:eastAsia="MS Mincho"/>
        </w:rPr>
        <w:t>in one</w:t>
      </w:r>
      <w:r w:rsidRPr="00521442">
        <w:rPr>
          <w:rFonts w:eastAsia="MS Mincho"/>
        </w:rPr>
        <w:t xml:space="preserve"> structure</w:t>
      </w:r>
      <w:r w:rsidR="003F60C8" w:rsidRPr="00521442">
        <w:rPr>
          <w:rFonts w:eastAsia="MS Mincho"/>
        </w:rPr>
        <w:t xml:space="preserve"> only in a resource pool</w:t>
      </w:r>
      <w:r w:rsidRPr="00521442">
        <w:rPr>
          <w:rFonts w:eastAsia="MS Mincho"/>
        </w:rPr>
        <w:t xml:space="preserve">. </w:t>
      </w:r>
      <w:r w:rsidR="003F60C8" w:rsidRPr="00521442">
        <w:rPr>
          <w:rFonts w:eastAsia="MS Mincho"/>
        </w:rPr>
        <w:t>However</w:t>
      </w:r>
      <w:r w:rsidRPr="00521442">
        <w:rPr>
          <w:rFonts w:eastAsia="MS Mincho"/>
        </w:rPr>
        <w:t>, partition</w:t>
      </w:r>
      <w:r w:rsidR="00B8393D" w:rsidRPr="00521442">
        <w:rPr>
          <w:rFonts w:eastAsia="MS Mincho"/>
        </w:rPr>
        <w:t>ing</w:t>
      </w:r>
      <w:r w:rsidRPr="00521442">
        <w:rPr>
          <w:rFonts w:eastAsia="MS Mincho"/>
        </w:rPr>
        <w:t xml:space="preserve"> of resource pools lead</w:t>
      </w:r>
      <w:r w:rsidR="00B8393D" w:rsidRPr="00521442">
        <w:rPr>
          <w:rFonts w:eastAsia="MS Mincho"/>
        </w:rPr>
        <w:t>s</w:t>
      </w:r>
      <w:r w:rsidRPr="00521442">
        <w:rPr>
          <w:rFonts w:eastAsia="MS Mincho"/>
        </w:rPr>
        <w:t xml:space="preserve"> to resource wastage</w:t>
      </w:r>
      <w:r w:rsidR="00443A39" w:rsidRPr="00521442">
        <w:rPr>
          <w:rFonts w:eastAsia="MS Mincho"/>
        </w:rPr>
        <w:t xml:space="preserve"> if there is over-dimensioning, or service disruptions if there is under-dimensioning</w:t>
      </w:r>
      <w:r w:rsidRPr="00521442">
        <w:rPr>
          <w:rFonts w:eastAsia="MS Mincho"/>
        </w:rPr>
        <w:t>.</w:t>
      </w:r>
      <w:r w:rsidR="000B70D3" w:rsidRPr="00521442">
        <w:rPr>
          <w:rFonts w:eastAsia="MS Mincho"/>
        </w:rPr>
        <w:t xml:space="preserve"> </w:t>
      </w:r>
      <w:r w:rsidR="008D5757" w:rsidRPr="00521442">
        <w:rPr>
          <w:rFonts w:eastAsia="MS Mincho"/>
        </w:rPr>
        <w:t>In coverage UEs may report some information to gNB for resource pool configurations on a timely basis, but this produces a lot of signaling flows over</w:t>
      </w:r>
      <w:r w:rsidR="00B8393D" w:rsidRPr="00521442">
        <w:rPr>
          <w:rFonts w:eastAsia="MS Mincho"/>
        </w:rPr>
        <w:t xml:space="preserve"> the</w:t>
      </w:r>
      <w:r w:rsidR="008D5757" w:rsidRPr="00521442">
        <w:rPr>
          <w:rFonts w:eastAsia="MS Mincho"/>
        </w:rPr>
        <w:t xml:space="preserve"> Uu link. In addition, there is </w:t>
      </w:r>
      <w:r w:rsidR="003F60C8" w:rsidRPr="00521442">
        <w:rPr>
          <w:rFonts w:eastAsia="MS Mincho"/>
        </w:rPr>
        <w:t>a significant impact on</w:t>
      </w:r>
      <w:r w:rsidR="008D5757" w:rsidRPr="00521442">
        <w:rPr>
          <w:rFonts w:eastAsia="MS Mincho"/>
        </w:rPr>
        <w:t xml:space="preserve"> out-of-coverage UEs</w:t>
      </w:r>
      <w:r w:rsidR="000B70D3" w:rsidRPr="00521442">
        <w:rPr>
          <w:rFonts w:eastAsia="MS Mincho"/>
        </w:rPr>
        <w:t xml:space="preserve">, </w:t>
      </w:r>
      <w:r w:rsidR="008D5757" w:rsidRPr="00521442">
        <w:rPr>
          <w:rFonts w:eastAsia="MS Mincho"/>
        </w:rPr>
        <w:t>as</w:t>
      </w:r>
      <w:r w:rsidR="000B70D3" w:rsidRPr="00521442">
        <w:rPr>
          <w:rFonts w:eastAsia="MS Mincho"/>
        </w:rPr>
        <w:t xml:space="preserve"> there is no coordination </w:t>
      </w:r>
      <w:r w:rsidR="008D5757" w:rsidRPr="00521442">
        <w:rPr>
          <w:rFonts w:eastAsia="MS Mincho"/>
        </w:rPr>
        <w:t xml:space="preserve">among UEs </w:t>
      </w:r>
      <w:r w:rsidR="000B70D3" w:rsidRPr="00521442">
        <w:rPr>
          <w:rFonts w:eastAsia="MS Mincho"/>
        </w:rPr>
        <w:t>for resource pool partition</w:t>
      </w:r>
      <w:r w:rsidR="00B8393D" w:rsidRPr="00521442">
        <w:rPr>
          <w:rFonts w:eastAsia="MS Mincho"/>
        </w:rPr>
        <w:t>ing</w:t>
      </w:r>
      <w:r w:rsidR="000B70D3" w:rsidRPr="00521442">
        <w:rPr>
          <w:rFonts w:eastAsia="MS Mincho"/>
        </w:rPr>
        <w:t>.</w:t>
      </w:r>
    </w:p>
    <w:p w14:paraId="0CA7B6E1" w14:textId="32D48206" w:rsidR="00B06B91" w:rsidRPr="00521442" w:rsidRDefault="002B492F" w:rsidP="00B06B91">
      <w:pPr>
        <w:keepNext/>
        <w:overflowPunct w:val="0"/>
        <w:snapToGrid/>
        <w:spacing w:after="180"/>
        <w:jc w:val="center"/>
        <w:textAlignment w:val="baseline"/>
      </w:pPr>
      <w:r w:rsidRPr="00521442">
        <w:t xml:space="preserve"> </w:t>
      </w:r>
      <w:r w:rsidR="00360CA4" w:rsidRPr="00521442">
        <w:rPr>
          <w:noProof/>
        </w:rPr>
        <w:drawing>
          <wp:inline distT="0" distB="0" distL="0" distR="0" wp14:anchorId="02C2FD2D" wp14:editId="1D8CFD9E">
            <wp:extent cx="2828925" cy="176414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0625" cy="1765200"/>
                    </a:xfrm>
                    <a:prstGeom prst="rect">
                      <a:avLst/>
                    </a:prstGeom>
                    <a:noFill/>
                    <a:ln>
                      <a:noFill/>
                    </a:ln>
                  </pic:spPr>
                </pic:pic>
              </a:graphicData>
            </a:graphic>
          </wp:inline>
        </w:drawing>
      </w:r>
    </w:p>
    <w:p w14:paraId="72387649" w14:textId="716367FF" w:rsidR="002B492F" w:rsidRPr="00521442" w:rsidRDefault="00B06B91" w:rsidP="00B06B91">
      <w:pPr>
        <w:pStyle w:val="Caption"/>
      </w:pPr>
      <w:bookmarkStart w:id="25" w:name="_Ref525664150"/>
      <w:r w:rsidRPr="00521442">
        <w:t xml:space="preserve">Figure </w:t>
      </w:r>
      <w:fldSimple w:instr=" SEQ Figure \* ARABIC ">
        <w:r w:rsidR="006F7DE5" w:rsidRPr="00521442">
          <w:t>14</w:t>
        </w:r>
      </w:fldSimple>
      <w:bookmarkEnd w:id="25"/>
      <w:r w:rsidRPr="00521442">
        <w:rPr>
          <w:rFonts w:hint="eastAsia"/>
        </w:rPr>
        <w:t xml:space="preserve">. </w:t>
      </w:r>
      <w:r w:rsidR="002B492F" w:rsidRPr="00521442">
        <w:t>TDM and FDM multiplexing in orthogonal resource pools</w:t>
      </w:r>
    </w:p>
    <w:p w14:paraId="7B1ED636" w14:textId="33841236" w:rsidR="002B492F" w:rsidRPr="00521442" w:rsidRDefault="002B492F" w:rsidP="002B492F">
      <w:pPr>
        <w:pStyle w:val="ListParagraph"/>
        <w:numPr>
          <w:ilvl w:val="0"/>
          <w:numId w:val="3"/>
        </w:numPr>
        <w:snapToGrid/>
        <w:ind w:left="828" w:hanging="357"/>
        <w:rPr>
          <w:rFonts w:eastAsia="Malgun Gothic"/>
          <w:b/>
          <w:u w:val="single"/>
          <w:lang w:eastAsia="ko-KR"/>
        </w:rPr>
      </w:pPr>
      <w:r w:rsidRPr="00521442">
        <w:rPr>
          <w:rFonts w:eastAsia="Malgun Gothic"/>
          <w:b/>
          <w:u w:val="single"/>
          <w:lang w:eastAsia="ko-KR"/>
        </w:rPr>
        <w:t>Option 2 TDM and FDM multiplexing in shared resource pools</w:t>
      </w:r>
      <w:r w:rsidR="00F6089B" w:rsidRPr="00521442">
        <w:rPr>
          <w:rFonts w:eastAsia="Malgun Gothic"/>
          <w:lang w:eastAsia="ko-KR"/>
        </w:rPr>
        <w:t xml:space="preserve"> (as shown in</w:t>
      </w:r>
      <w:r w:rsidR="00B06B91" w:rsidRPr="00521442">
        <w:rPr>
          <w:rFonts w:eastAsia="Malgun Gothic"/>
          <w:lang w:eastAsia="ko-KR"/>
        </w:rPr>
        <w:t xml:space="preserve"> </w:t>
      </w:r>
      <w:r w:rsidR="00B06B91" w:rsidRPr="00521442">
        <w:rPr>
          <w:rFonts w:eastAsia="Malgun Gothic"/>
          <w:lang w:eastAsia="ko-KR"/>
        </w:rPr>
        <w:fldChar w:fldCharType="begin"/>
      </w:r>
      <w:r w:rsidR="00B06B91" w:rsidRPr="00521442">
        <w:rPr>
          <w:rFonts w:eastAsia="Malgun Gothic"/>
          <w:lang w:eastAsia="ko-KR"/>
        </w:rPr>
        <w:instrText xml:space="preserve"> REF _Ref525664189 \h </w:instrText>
      </w:r>
      <w:r w:rsidR="00B06B91" w:rsidRPr="00521442">
        <w:rPr>
          <w:rFonts w:eastAsia="Malgun Gothic"/>
          <w:lang w:eastAsia="ko-KR"/>
        </w:rPr>
      </w:r>
      <w:r w:rsidR="00B06B91" w:rsidRPr="00521442">
        <w:rPr>
          <w:rFonts w:eastAsia="Malgun Gothic"/>
          <w:lang w:eastAsia="ko-KR"/>
        </w:rPr>
        <w:fldChar w:fldCharType="separate"/>
      </w:r>
      <w:r w:rsidR="004B1740" w:rsidRPr="00521442">
        <w:t>Figure 15</w:t>
      </w:r>
      <w:r w:rsidR="00B06B91" w:rsidRPr="00521442">
        <w:rPr>
          <w:rFonts w:eastAsia="Malgun Gothic"/>
          <w:lang w:eastAsia="ko-KR"/>
        </w:rPr>
        <w:fldChar w:fldCharType="end"/>
      </w:r>
      <w:r w:rsidR="00F6089B" w:rsidRPr="00521442">
        <w:rPr>
          <w:rFonts w:eastAsia="Malgun Gothic"/>
          <w:lang w:eastAsia="ko-KR"/>
        </w:rPr>
        <w:t>)</w:t>
      </w:r>
      <w:r w:rsidRPr="00521442">
        <w:rPr>
          <w:rFonts w:eastAsia="Malgun Gothic"/>
          <w:lang w:eastAsia="ko-KR"/>
        </w:rPr>
        <w:t xml:space="preserve">: </w:t>
      </w:r>
      <w:r w:rsidR="000B70D3" w:rsidRPr="00521442">
        <w:rPr>
          <w:rFonts w:eastAsia="Malgun Gothic"/>
          <w:lang w:eastAsia="ko-KR"/>
        </w:rPr>
        <w:t xml:space="preserve">This allows TDM and FDM structure being used simultaneously, i.e. </w:t>
      </w:r>
      <w:r w:rsidRPr="00521442">
        <w:rPr>
          <w:rFonts w:eastAsia="MS Mincho"/>
        </w:rPr>
        <w:t>no partition</w:t>
      </w:r>
      <w:r w:rsidR="00B8393D" w:rsidRPr="00521442">
        <w:rPr>
          <w:rFonts w:eastAsia="MS Mincho"/>
        </w:rPr>
        <w:t>ing</w:t>
      </w:r>
      <w:r w:rsidRPr="00521442">
        <w:rPr>
          <w:rFonts w:eastAsia="MS Mincho"/>
        </w:rPr>
        <w:t xml:space="preserve"> of resource pools, meaning maximized resource pool utilization efficiency</w:t>
      </w:r>
      <w:r w:rsidR="004824A7" w:rsidRPr="00521442">
        <w:rPr>
          <w:rFonts w:eastAsia="MS Mincho"/>
        </w:rPr>
        <w:t xml:space="preserve"> and most flexible usage of either structure on a per UE basis</w:t>
      </w:r>
      <w:r w:rsidR="000B70D3" w:rsidRPr="00521442">
        <w:rPr>
          <w:rFonts w:eastAsia="MS Mincho"/>
        </w:rPr>
        <w:t xml:space="preserve"> </w:t>
      </w:r>
      <w:r w:rsidR="008D5757" w:rsidRPr="00521442">
        <w:rPr>
          <w:rFonts w:eastAsia="MS Mincho"/>
        </w:rPr>
        <w:t>both</w:t>
      </w:r>
      <w:r w:rsidR="000B70D3" w:rsidRPr="00521442">
        <w:rPr>
          <w:rFonts w:eastAsia="MS Mincho"/>
        </w:rPr>
        <w:t xml:space="preserve"> </w:t>
      </w:r>
      <w:r w:rsidR="008D5757" w:rsidRPr="00521442">
        <w:rPr>
          <w:rFonts w:eastAsia="MS Mincho"/>
        </w:rPr>
        <w:t>in-coverage and out-of-coverage</w:t>
      </w:r>
      <w:r w:rsidR="004824A7" w:rsidRPr="00521442">
        <w:rPr>
          <w:rFonts w:eastAsia="MS Mincho"/>
        </w:rPr>
        <w:t xml:space="preserve">. </w:t>
      </w:r>
    </w:p>
    <w:p w14:paraId="757DB8BE" w14:textId="45801BB8" w:rsidR="00B06B91" w:rsidRPr="00521442" w:rsidRDefault="002B492F" w:rsidP="00876BD7">
      <w:pPr>
        <w:keepNext/>
        <w:snapToGrid/>
        <w:jc w:val="center"/>
      </w:pPr>
      <w:r w:rsidRPr="00521442">
        <w:rPr>
          <w:rFonts w:eastAsia="Malgun Gothic"/>
          <w:b/>
          <w:u w:val="single"/>
          <w:lang w:eastAsia="ko-KR"/>
        </w:rPr>
        <w:t xml:space="preserve"> </w:t>
      </w:r>
      <w:r w:rsidR="00360CA4" w:rsidRPr="00521442">
        <w:rPr>
          <w:noProof/>
        </w:rPr>
        <w:drawing>
          <wp:inline distT="0" distB="0" distL="0" distR="0" wp14:anchorId="7281DF82" wp14:editId="4AAFEA83">
            <wp:extent cx="2895600" cy="13220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5576" cy="1335731"/>
                    </a:xfrm>
                    <a:prstGeom prst="rect">
                      <a:avLst/>
                    </a:prstGeom>
                    <a:noFill/>
                    <a:ln>
                      <a:noFill/>
                    </a:ln>
                  </pic:spPr>
                </pic:pic>
              </a:graphicData>
            </a:graphic>
          </wp:inline>
        </w:drawing>
      </w:r>
    </w:p>
    <w:p w14:paraId="634010A1" w14:textId="644203B6" w:rsidR="004824A7" w:rsidRPr="00521442" w:rsidRDefault="00B06B91" w:rsidP="004824A7">
      <w:pPr>
        <w:pStyle w:val="Caption"/>
        <w:rPr>
          <w:rFonts w:eastAsia="Malgun Gothic"/>
          <w:lang w:eastAsia="ko-KR"/>
        </w:rPr>
      </w:pPr>
      <w:bookmarkStart w:id="26" w:name="_Ref525664189"/>
      <w:r w:rsidRPr="00521442">
        <w:t xml:space="preserve">Figure </w:t>
      </w:r>
      <w:fldSimple w:instr=" SEQ Figure \* ARABIC ">
        <w:r w:rsidR="006F7DE5" w:rsidRPr="00521442">
          <w:t>15</w:t>
        </w:r>
      </w:fldSimple>
      <w:bookmarkEnd w:id="26"/>
      <w:r w:rsidRPr="00521442">
        <w:t>.</w:t>
      </w:r>
      <w:r w:rsidR="002B492F" w:rsidRPr="00521442">
        <w:t xml:space="preserve"> </w:t>
      </w:r>
      <w:r w:rsidR="002B492F" w:rsidRPr="00521442">
        <w:rPr>
          <w:rFonts w:eastAsia="Malgun Gothic"/>
          <w:lang w:eastAsia="ko-KR"/>
        </w:rPr>
        <w:t>TDM and FDM multiplexing in shared resource pool</w:t>
      </w:r>
    </w:p>
    <w:p w14:paraId="47F2BB6C" w14:textId="7E36C34B" w:rsidR="008918A3" w:rsidRPr="00521442" w:rsidRDefault="008918A3" w:rsidP="000F76B5">
      <w:pPr>
        <w:snapToGrid/>
        <w:contextualSpacing/>
        <w:rPr>
          <w:rFonts w:eastAsia="MS Mincho"/>
          <w:b/>
          <w:i/>
        </w:rPr>
      </w:pPr>
      <w:r w:rsidRPr="00521442">
        <w:rPr>
          <w:rFonts w:eastAsia="MS Mincho"/>
          <w:b/>
          <w:i/>
        </w:rPr>
        <w:t xml:space="preserve">Proposal </w:t>
      </w:r>
      <w:r w:rsidR="00AE21BB" w:rsidRPr="00521442">
        <w:rPr>
          <w:rFonts w:eastAsia="MS Mincho"/>
          <w:b/>
          <w:i/>
        </w:rPr>
        <w:t>1</w:t>
      </w:r>
      <w:r w:rsidR="00076B62" w:rsidRPr="00521442">
        <w:rPr>
          <w:rFonts w:eastAsia="MS Mincho"/>
          <w:b/>
          <w:i/>
        </w:rPr>
        <w:t>3</w:t>
      </w:r>
      <w:r w:rsidRPr="00521442">
        <w:rPr>
          <w:rFonts w:eastAsia="MS Mincho"/>
          <w:b/>
          <w:i/>
        </w:rPr>
        <w:t xml:space="preserve">: </w:t>
      </w:r>
      <w:r w:rsidR="00013691" w:rsidRPr="00521442">
        <w:rPr>
          <w:rFonts w:eastAsia="MS Mincho"/>
          <w:b/>
          <w:i/>
        </w:rPr>
        <w:t>Support to</w:t>
      </w:r>
      <w:r w:rsidR="004824A7" w:rsidRPr="00521442">
        <w:rPr>
          <w:rFonts w:eastAsia="MS Mincho"/>
          <w:b/>
          <w:i/>
        </w:rPr>
        <w:t xml:space="preserve"> multiplex </w:t>
      </w:r>
      <w:r w:rsidRPr="00521442">
        <w:rPr>
          <w:rFonts w:eastAsia="MS Mincho"/>
          <w:b/>
          <w:i/>
        </w:rPr>
        <w:t xml:space="preserve">TDM and FDM </w:t>
      </w:r>
      <w:r w:rsidR="004824A7" w:rsidRPr="00521442">
        <w:rPr>
          <w:rFonts w:eastAsia="MS Mincho"/>
          <w:b/>
          <w:i/>
        </w:rPr>
        <w:t xml:space="preserve">structure </w:t>
      </w:r>
      <w:r w:rsidRPr="00521442">
        <w:rPr>
          <w:rFonts w:eastAsia="MS Mincho"/>
          <w:b/>
          <w:i/>
        </w:rPr>
        <w:t>of PSCCH and PSSCH</w:t>
      </w:r>
      <w:r w:rsidR="004824A7" w:rsidRPr="00521442">
        <w:rPr>
          <w:rFonts w:eastAsia="MS Mincho"/>
          <w:b/>
          <w:i/>
        </w:rPr>
        <w:t>:</w:t>
      </w:r>
    </w:p>
    <w:p w14:paraId="007E1A09" w14:textId="2758C032" w:rsidR="00BA3C6A" w:rsidRPr="00521442" w:rsidRDefault="00BA3C6A" w:rsidP="000F76B5">
      <w:pPr>
        <w:pStyle w:val="ListParagraph"/>
        <w:widowControl w:val="0"/>
        <w:numPr>
          <w:ilvl w:val="0"/>
          <w:numId w:val="3"/>
        </w:numPr>
        <w:overflowPunct w:val="0"/>
        <w:snapToGrid/>
        <w:spacing w:before="80" w:after="80"/>
        <w:textAlignment w:val="baseline"/>
        <w:rPr>
          <w:rFonts w:eastAsia="MS Mincho"/>
          <w:b/>
          <w:i/>
        </w:rPr>
      </w:pPr>
      <w:r w:rsidRPr="00521442">
        <w:rPr>
          <w:rFonts w:eastAsia="MS Mincho"/>
          <w:b/>
          <w:i/>
        </w:rPr>
        <w:t xml:space="preserve">Option 1 </w:t>
      </w:r>
      <w:r w:rsidR="00A60BF6" w:rsidRPr="00521442">
        <w:rPr>
          <w:rFonts w:eastAsia="MS Mincho"/>
          <w:b/>
          <w:i/>
        </w:rPr>
        <w:t xml:space="preserve">multiplexing </w:t>
      </w:r>
      <w:r w:rsidRPr="00521442">
        <w:rPr>
          <w:rFonts w:eastAsia="MS Mincho"/>
          <w:b/>
          <w:i/>
        </w:rPr>
        <w:t>TDM and FDM in orthogonal resource pools:</w:t>
      </w:r>
    </w:p>
    <w:p w14:paraId="7B88BE20" w14:textId="12D20CC4" w:rsidR="008918A3" w:rsidRPr="00521442" w:rsidRDefault="00BA3C6A" w:rsidP="000F76B5">
      <w:pPr>
        <w:pStyle w:val="ListParagraph"/>
        <w:widowControl w:val="0"/>
        <w:numPr>
          <w:ilvl w:val="0"/>
          <w:numId w:val="3"/>
        </w:numPr>
        <w:overflowPunct w:val="0"/>
        <w:snapToGrid/>
        <w:spacing w:before="80" w:after="80"/>
        <w:textAlignment w:val="baseline"/>
        <w:rPr>
          <w:rFonts w:eastAsia="MS Mincho"/>
          <w:b/>
          <w:i/>
        </w:rPr>
      </w:pPr>
      <w:r w:rsidRPr="00521442">
        <w:rPr>
          <w:rFonts w:eastAsia="MS Mincho"/>
          <w:b/>
          <w:i/>
        </w:rPr>
        <w:t xml:space="preserve">Option 2 </w:t>
      </w:r>
      <w:r w:rsidR="00A60BF6" w:rsidRPr="00521442">
        <w:rPr>
          <w:rFonts w:eastAsia="MS Mincho"/>
          <w:b/>
          <w:i/>
        </w:rPr>
        <w:t xml:space="preserve">multiplexing </w:t>
      </w:r>
      <w:r w:rsidRPr="00521442">
        <w:rPr>
          <w:rFonts w:eastAsia="MS Mincho"/>
          <w:b/>
          <w:i/>
        </w:rPr>
        <w:t>TDM and FDM in shared resource pools</w:t>
      </w:r>
    </w:p>
    <w:p w14:paraId="5645C483" w14:textId="77777777" w:rsidR="00532C6A" w:rsidRPr="00521442" w:rsidRDefault="00532C6A" w:rsidP="000F76B5">
      <w:pPr>
        <w:pStyle w:val="Heading2"/>
        <w:rPr>
          <w:lang w:eastAsia="zh-CN"/>
        </w:rPr>
      </w:pPr>
      <w:r w:rsidRPr="00521442">
        <w:rPr>
          <w:lang w:eastAsia="zh-CN"/>
        </w:rPr>
        <w:t>RS design</w:t>
      </w:r>
    </w:p>
    <w:p w14:paraId="062C7C0C" w14:textId="0904E837" w:rsidR="000E7A3F" w:rsidRPr="00521442" w:rsidRDefault="00267E5E" w:rsidP="000F76B5">
      <w:r w:rsidRPr="00521442">
        <w:rPr>
          <w:lang w:eastAsia="zh-CN"/>
        </w:rPr>
        <w:t xml:space="preserve">Unlike DMRS design in LTE V2X, NR V2X </w:t>
      </w:r>
      <w:r w:rsidRPr="00521442">
        <w:rPr>
          <w:rFonts w:hint="eastAsia"/>
          <w:lang w:eastAsia="zh-CN"/>
        </w:rPr>
        <w:t>should take</w:t>
      </w:r>
      <w:r w:rsidR="00DD2345" w:rsidRPr="00521442">
        <w:rPr>
          <w:lang w:eastAsia="zh-CN"/>
        </w:rPr>
        <w:t xml:space="preserve"> </w:t>
      </w:r>
      <w:r w:rsidR="00DD2345" w:rsidRPr="00521442">
        <w:t>into account</w:t>
      </w:r>
      <w:r w:rsidRPr="00521442">
        <w:rPr>
          <w:rFonts w:hint="eastAsia"/>
          <w:lang w:eastAsia="zh-CN"/>
        </w:rPr>
        <w:t xml:space="preserve"> </w:t>
      </w:r>
      <w:r w:rsidRPr="00521442">
        <w:rPr>
          <w:lang w:eastAsia="zh-CN"/>
        </w:rPr>
        <w:t xml:space="preserve">waveform, </w:t>
      </w:r>
      <w:r w:rsidRPr="00521442">
        <w:rPr>
          <w:rFonts w:hint="eastAsia"/>
          <w:lang w:eastAsia="zh-CN"/>
        </w:rPr>
        <w:t xml:space="preserve">SCS, </w:t>
      </w:r>
      <w:r w:rsidRPr="00521442">
        <w:t>PSCCH and PSSCH multiplexing, etc.</w:t>
      </w:r>
    </w:p>
    <w:p w14:paraId="7D2A313F" w14:textId="4F8315E9" w:rsidR="00A22B11" w:rsidRPr="00521442" w:rsidRDefault="00A22B11" w:rsidP="00A22B11">
      <w:r w:rsidRPr="00521442">
        <w:t>It is clear tha</w:t>
      </w:r>
      <w:r w:rsidR="001C1D90" w:rsidRPr="00521442">
        <w:t>t SL will need DMRS, and the</w:t>
      </w:r>
      <w:r w:rsidRPr="00521442">
        <w:t xml:space="preserve"> design will need to take into account the range of waveform, SCS, channel type, etc. applicable to NR V2X. </w:t>
      </w:r>
      <w:r w:rsidR="00DD2345" w:rsidRPr="00521442">
        <w:t xml:space="preserve">In addition to L1 broadcast, </w:t>
      </w:r>
      <w:r w:rsidR="00DD2345" w:rsidRPr="00521442">
        <w:rPr>
          <w:rFonts w:eastAsia="MS Mincho"/>
        </w:rPr>
        <w:t xml:space="preserve">NR sidelink also supports unicast and groupcast at physical layer </w:t>
      </w:r>
      <w:r w:rsidR="00DD2345" w:rsidRPr="00521442">
        <w:rPr>
          <w:rFonts w:eastAsia="MS Mincho"/>
        </w:rPr>
        <w:fldChar w:fldCharType="begin"/>
      </w:r>
      <w:r w:rsidR="00DD2345" w:rsidRPr="00521442">
        <w:rPr>
          <w:rFonts w:eastAsia="MS Mincho"/>
        </w:rPr>
        <w:instrText xml:space="preserve"> REF _Ref524445103 \r \h </w:instrText>
      </w:r>
      <w:r w:rsidR="006C69AA" w:rsidRPr="00521442">
        <w:rPr>
          <w:rFonts w:eastAsia="MS Mincho"/>
        </w:rPr>
        <w:instrText xml:space="preserve"> \* MERGEFORMAT </w:instrText>
      </w:r>
      <w:r w:rsidR="00DD2345" w:rsidRPr="00521442">
        <w:rPr>
          <w:rFonts w:eastAsia="MS Mincho"/>
        </w:rPr>
      </w:r>
      <w:r w:rsidR="00DD2345" w:rsidRPr="00521442">
        <w:rPr>
          <w:rFonts w:eastAsia="MS Mincho"/>
        </w:rPr>
        <w:fldChar w:fldCharType="separate"/>
      </w:r>
      <w:r w:rsidR="004B1740" w:rsidRPr="00521442">
        <w:rPr>
          <w:rFonts w:eastAsia="MS Mincho"/>
        </w:rPr>
        <w:t>[7]</w:t>
      </w:r>
      <w:r w:rsidR="00DD2345" w:rsidRPr="00521442">
        <w:rPr>
          <w:rFonts w:eastAsia="MS Mincho"/>
        </w:rPr>
        <w:fldChar w:fldCharType="end"/>
      </w:r>
      <w:r w:rsidR="00DD2345" w:rsidRPr="00521442">
        <w:rPr>
          <w:rFonts w:eastAsia="MS Mincho"/>
        </w:rPr>
        <w:t>, where the sidelink channels between the paired UEs for unicast and group UEs for groupcast can be properly estimated to provide better spectrum efficiency. Hence, NR sidelink channel state information reference signal (SL</w:t>
      </w:r>
      <w:r w:rsidR="000F3F9C" w:rsidRPr="00521442">
        <w:rPr>
          <w:rFonts w:eastAsia="MS Mincho"/>
        </w:rPr>
        <w:t xml:space="preserve"> </w:t>
      </w:r>
      <w:r w:rsidR="00DD2345" w:rsidRPr="00521442">
        <w:rPr>
          <w:rFonts w:eastAsia="MS Mincho"/>
        </w:rPr>
        <w:t xml:space="preserve">CSI-RS) </w:t>
      </w:r>
      <w:r w:rsidR="0077565C" w:rsidRPr="00521442">
        <w:rPr>
          <w:rFonts w:eastAsia="MS Mincho"/>
        </w:rPr>
        <w:t>should be supported, with NR Uu CSI-RS design as a starting point</w:t>
      </w:r>
      <w:r w:rsidR="00DD2345" w:rsidRPr="00521442">
        <w:rPr>
          <w:rFonts w:eastAsia="MS Mincho"/>
        </w:rPr>
        <w:t xml:space="preserve">. </w:t>
      </w:r>
      <w:r w:rsidRPr="00521442">
        <w:t>Other sidelink RS such as</w:t>
      </w:r>
      <w:r w:rsidR="008E013D" w:rsidRPr="00521442">
        <w:t xml:space="preserve"> SRS,</w:t>
      </w:r>
      <w:r w:rsidRPr="00521442">
        <w:t xml:space="preserve"> PT-RS</w:t>
      </w:r>
      <w:r w:rsidR="008E013D" w:rsidRPr="00521442">
        <w:t>,</w:t>
      </w:r>
      <w:r w:rsidRPr="00521442">
        <w:t xml:space="preserve"> and </w:t>
      </w:r>
      <w:r w:rsidR="000F3F9C" w:rsidRPr="00521442">
        <w:t xml:space="preserve">possibly </w:t>
      </w:r>
      <w:r w:rsidRPr="00521442">
        <w:t xml:space="preserve">AGC training signal </w:t>
      </w:r>
      <w:r w:rsidR="008E013D" w:rsidRPr="00521442">
        <w:t>also need to be considered</w:t>
      </w:r>
      <w:r w:rsidRPr="00521442">
        <w:t>. We discuss refer</w:t>
      </w:r>
      <w:r w:rsidR="001C1D90" w:rsidRPr="00521442">
        <w:t xml:space="preserve">ence signals in detail in </w:t>
      </w:r>
      <w:r w:rsidR="001C1D90" w:rsidRPr="00521442">
        <w:fldChar w:fldCharType="begin"/>
      </w:r>
      <w:r w:rsidR="001C1D90" w:rsidRPr="00521442">
        <w:instrText xml:space="preserve"> REF _Ref524445095 \w \h </w:instrText>
      </w:r>
      <w:r w:rsidR="004B1740" w:rsidRPr="00521442">
        <w:instrText xml:space="preserve"> \* MERGEFORMAT </w:instrText>
      </w:r>
      <w:r w:rsidR="001C1D90" w:rsidRPr="00521442">
        <w:fldChar w:fldCharType="separate"/>
      </w:r>
      <w:r w:rsidR="001C1D90" w:rsidRPr="00521442">
        <w:t>[6]</w:t>
      </w:r>
      <w:r w:rsidR="001C1D90" w:rsidRPr="00521442">
        <w:fldChar w:fldCharType="end"/>
      </w:r>
      <w:r w:rsidRPr="00521442">
        <w:t xml:space="preserve">. </w:t>
      </w:r>
    </w:p>
    <w:p w14:paraId="6E31F456" w14:textId="175EBFF4" w:rsidR="003E74F2" w:rsidRPr="00521442" w:rsidRDefault="003E74F2" w:rsidP="004410B9">
      <w:r w:rsidRPr="00521442">
        <w:rPr>
          <w:b/>
          <w:i/>
          <w:lang w:eastAsia="zh-CN"/>
        </w:rPr>
        <w:t xml:space="preserve">Proposal </w:t>
      </w:r>
      <w:r w:rsidR="004B1740" w:rsidRPr="00521442">
        <w:rPr>
          <w:b/>
          <w:i/>
          <w:lang w:eastAsia="zh-CN"/>
        </w:rPr>
        <w:t>14</w:t>
      </w:r>
      <w:r w:rsidRPr="00521442">
        <w:rPr>
          <w:b/>
          <w:i/>
          <w:lang w:eastAsia="zh-CN"/>
        </w:rPr>
        <w:t>:</w:t>
      </w:r>
      <w:r w:rsidRPr="00521442">
        <w:t xml:space="preserve"> </w:t>
      </w:r>
      <w:r w:rsidRPr="00521442">
        <w:rPr>
          <w:b/>
          <w:i/>
          <w:lang w:eastAsia="zh-CN"/>
        </w:rPr>
        <w:t>In NR V2X, SL SRS</w:t>
      </w:r>
      <w:r w:rsidR="00FE672F" w:rsidRPr="00521442">
        <w:rPr>
          <w:b/>
          <w:i/>
          <w:lang w:eastAsia="zh-CN"/>
        </w:rPr>
        <w:t xml:space="preserve">, </w:t>
      </w:r>
      <w:r w:rsidR="001C1D90" w:rsidRPr="00521442">
        <w:rPr>
          <w:b/>
          <w:i/>
          <w:lang w:eastAsia="zh-CN"/>
        </w:rPr>
        <w:t>DMRS</w:t>
      </w:r>
      <w:r w:rsidRPr="00521442">
        <w:rPr>
          <w:b/>
          <w:i/>
          <w:lang w:eastAsia="zh-CN"/>
        </w:rPr>
        <w:t xml:space="preserve">, CSI-RS, </w:t>
      </w:r>
      <w:r w:rsidR="000F3F9C" w:rsidRPr="00521442">
        <w:rPr>
          <w:b/>
          <w:i/>
          <w:lang w:eastAsia="zh-CN"/>
        </w:rPr>
        <w:t xml:space="preserve">TRS, </w:t>
      </w:r>
      <w:r w:rsidRPr="00521442">
        <w:rPr>
          <w:b/>
          <w:i/>
          <w:lang w:eastAsia="zh-CN"/>
        </w:rPr>
        <w:t>PT-RS</w:t>
      </w:r>
      <w:r w:rsidR="001C1D90" w:rsidRPr="00521442">
        <w:rPr>
          <w:b/>
          <w:i/>
          <w:lang w:eastAsia="zh-CN"/>
        </w:rPr>
        <w:t>,</w:t>
      </w:r>
      <w:r w:rsidRPr="00521442">
        <w:rPr>
          <w:b/>
          <w:i/>
          <w:lang w:eastAsia="zh-CN"/>
        </w:rPr>
        <w:t xml:space="preserve"> and AGC training signal need to be further investigated.</w:t>
      </w:r>
    </w:p>
    <w:p w14:paraId="54D1932F" w14:textId="13609160" w:rsidR="00157FC3" w:rsidRPr="00521442" w:rsidRDefault="00747F48" w:rsidP="000F76B5">
      <w:pPr>
        <w:pStyle w:val="Heading1"/>
        <w:snapToGrid/>
        <w:contextualSpacing/>
      </w:pPr>
      <w:r w:rsidRPr="00521442">
        <w:lastRenderedPageBreak/>
        <w:t>Conclusion</w:t>
      </w:r>
      <w:r w:rsidR="006B1FD5" w:rsidRPr="00521442">
        <w:t>s</w:t>
      </w:r>
    </w:p>
    <w:p w14:paraId="070854FC" w14:textId="77777777" w:rsidR="00F02D8D" w:rsidRPr="00521442" w:rsidRDefault="00F02D8D" w:rsidP="000F76B5">
      <w:pPr>
        <w:contextualSpacing/>
        <w:rPr>
          <w:rFonts w:eastAsia="MS Mincho"/>
        </w:rPr>
      </w:pPr>
      <w:r w:rsidRPr="00521442">
        <w:rPr>
          <w:rFonts w:eastAsia="MS Mincho"/>
        </w:rPr>
        <w:t>This contribution has provided our view on sidelink physical layer structure and procedure for NR V2X:</w:t>
      </w:r>
    </w:p>
    <w:p w14:paraId="36E1BD80" w14:textId="77777777" w:rsidR="00AE21BB" w:rsidRPr="00521442" w:rsidRDefault="00AE21BB" w:rsidP="004410B9">
      <w:pPr>
        <w:rPr>
          <w:rFonts w:eastAsia="MS Mincho"/>
          <w:b/>
          <w:i/>
        </w:rPr>
      </w:pPr>
      <w:bookmarkStart w:id="27" w:name="_Ref124589665"/>
      <w:bookmarkStart w:id="28" w:name="_Ref71620620"/>
      <w:bookmarkStart w:id="29" w:name="_Ref124671424"/>
      <w:r w:rsidRPr="00521442">
        <w:rPr>
          <w:rFonts w:eastAsia="MS Mincho"/>
          <w:b/>
          <w:i/>
        </w:rPr>
        <w:t>Proposal 1: NR PSCCH formats supporting repetition of SCI in time and in frequency domain need to be studied, as well as the procedures of UE monitoring of PSCCH so that reliability and latency requirements are met.</w:t>
      </w:r>
    </w:p>
    <w:p w14:paraId="3C461DA9" w14:textId="77777777" w:rsidR="00B06B91" w:rsidRPr="00521442" w:rsidRDefault="00B06B91" w:rsidP="00B06B91">
      <w:pPr>
        <w:rPr>
          <w:rFonts w:eastAsia="MS Mincho"/>
          <w:i/>
        </w:rPr>
      </w:pPr>
      <w:r w:rsidRPr="00521442">
        <w:rPr>
          <w:b/>
          <w:i/>
          <w:lang w:eastAsia="zh-CN"/>
        </w:rPr>
        <w:t>Proposal 2: NR V2X SCI formats need to support the coexistence of unicast/groupcast/broadcast, in addition to the support of HARQ ACK/NACK feedback and CSI reporting.</w:t>
      </w:r>
      <w:r w:rsidRPr="00521442">
        <w:rPr>
          <w:rFonts w:eastAsia="MS Mincho"/>
          <w:i/>
        </w:rPr>
        <w:t xml:space="preserve"> </w:t>
      </w:r>
    </w:p>
    <w:p w14:paraId="76B68AAD" w14:textId="77777777" w:rsidR="00AE21BB" w:rsidRPr="00521442" w:rsidRDefault="00AE21BB" w:rsidP="000F76B5">
      <w:pPr>
        <w:snapToGrid/>
        <w:jc w:val="left"/>
        <w:rPr>
          <w:b/>
          <w:i/>
        </w:rPr>
      </w:pPr>
      <w:r w:rsidRPr="00521442">
        <w:rPr>
          <w:b/>
          <w:i/>
        </w:rPr>
        <w:t>Proposal 3: Define a physical sidelink feedback channel (PSFCH) for NR V2X which carries at least SL-ACK/NACK and SL-CSI.</w:t>
      </w:r>
    </w:p>
    <w:p w14:paraId="53F2FE44" w14:textId="588CC0B3" w:rsidR="00AE21BB" w:rsidRPr="00521442" w:rsidRDefault="00AE21BB" w:rsidP="000F76B5">
      <w:pPr>
        <w:snapToGrid/>
        <w:jc w:val="left"/>
        <w:rPr>
          <w:b/>
          <w:i/>
        </w:rPr>
      </w:pPr>
      <w:r w:rsidRPr="00521442">
        <w:rPr>
          <w:b/>
          <w:i/>
        </w:rPr>
        <w:t>Proposal 4: Define a physical sidelink discovery channel (PSDCH) for NR V2X.</w:t>
      </w:r>
    </w:p>
    <w:p w14:paraId="2C115471" w14:textId="4BF4BC39" w:rsidR="00AE21BB" w:rsidRPr="00521442" w:rsidRDefault="00AE21BB" w:rsidP="000F76B5">
      <w:pPr>
        <w:snapToGrid/>
        <w:jc w:val="left"/>
        <w:rPr>
          <w:b/>
          <w:i/>
        </w:rPr>
      </w:pPr>
      <w:r w:rsidRPr="00521442">
        <w:rPr>
          <w:b/>
          <w:i/>
        </w:rPr>
        <w:t>Proposal 5: NR V2X supports CP-OFDM only.</w:t>
      </w:r>
    </w:p>
    <w:p w14:paraId="7A4B4F73" w14:textId="77777777" w:rsidR="00A84139" w:rsidRPr="00521442" w:rsidRDefault="00A84139" w:rsidP="00A84139">
      <w:pPr>
        <w:pStyle w:val="ListParagraph"/>
        <w:widowControl w:val="0"/>
        <w:overflowPunct w:val="0"/>
        <w:spacing w:before="80" w:after="80"/>
        <w:ind w:left="0"/>
        <w:contextualSpacing w:val="0"/>
        <w:jc w:val="left"/>
        <w:textAlignment w:val="baseline"/>
        <w:rPr>
          <w:b/>
          <w:i/>
        </w:rPr>
      </w:pPr>
      <w:r w:rsidRPr="00521442">
        <w:rPr>
          <w:rFonts w:hint="eastAsia"/>
          <w:b/>
          <w:i/>
        </w:rPr>
        <w:t>Observation</w:t>
      </w:r>
      <w:r w:rsidRPr="00521442">
        <w:rPr>
          <w:b/>
          <w:i/>
        </w:rPr>
        <w:t xml:space="preserve"> 1</w:t>
      </w:r>
      <w:r w:rsidRPr="00521442">
        <w:rPr>
          <w:rFonts w:hint="eastAsia"/>
          <w:b/>
          <w:i/>
        </w:rPr>
        <w:t>:</w:t>
      </w:r>
      <w:r w:rsidRPr="00521442">
        <w:rPr>
          <w:b/>
          <w:i/>
        </w:rPr>
        <w:t xml:space="preserve"> Link-level performance of 120 kHz SCS has no gain over that of 60 kHz SCS in FR1, whilst requiring more symbols to be spent on AGC and gap time.</w:t>
      </w:r>
    </w:p>
    <w:p w14:paraId="3B1DA29F" w14:textId="77777777" w:rsidR="00A810F9" w:rsidRPr="00521442" w:rsidRDefault="00A810F9" w:rsidP="00A810F9">
      <w:pPr>
        <w:overflowPunct w:val="0"/>
        <w:spacing w:after="180"/>
        <w:textAlignment w:val="baseline"/>
        <w:rPr>
          <w:b/>
          <w:i/>
        </w:rPr>
      </w:pPr>
      <w:bookmarkStart w:id="30" w:name="_GoBack"/>
      <w:bookmarkEnd w:id="30"/>
      <w:r w:rsidRPr="00521442">
        <w:rPr>
          <w:b/>
          <w:i/>
        </w:rPr>
        <w:t>Observation 2: In addition to necessity for supporting the range of envisaged scenarios, 60 kHz SCS also provides reduced packet delivery latency, reduced sensitivity to ICI,  lower relative DMRS overhead and reduced in-band emission interference</w:t>
      </w:r>
    </w:p>
    <w:p w14:paraId="3F6576EB" w14:textId="77777777" w:rsidR="00C718D2" w:rsidRPr="00521442" w:rsidRDefault="00C718D2" w:rsidP="00C718D2">
      <w:pPr>
        <w:overflowPunct w:val="0"/>
        <w:spacing w:after="180"/>
        <w:textAlignment w:val="baseline"/>
        <w:rPr>
          <w:b/>
          <w:i/>
        </w:rPr>
      </w:pPr>
      <w:r w:rsidRPr="00521442">
        <w:rPr>
          <w:b/>
          <w:i/>
        </w:rPr>
        <w:t>Observation 3: The subcarrier spacing giving the best link-level/system-level performance is dependent on the scenario</w:t>
      </w:r>
      <w:r w:rsidRPr="00C718D2">
        <w:t xml:space="preserve"> </w:t>
      </w:r>
      <w:r w:rsidRPr="00C718D2">
        <w:rPr>
          <w:b/>
          <w:i/>
        </w:rPr>
        <w:t>(e.g., system bandwidth, supported speeds, ...)</w:t>
      </w:r>
    </w:p>
    <w:p w14:paraId="2A99D133" w14:textId="7892C144" w:rsidR="00536957" w:rsidRPr="00521442" w:rsidRDefault="00536957" w:rsidP="00536957">
      <w:pPr>
        <w:snapToGrid/>
        <w:contextualSpacing/>
        <w:jc w:val="left"/>
        <w:rPr>
          <w:b/>
          <w:i/>
        </w:rPr>
      </w:pPr>
      <w:r w:rsidRPr="00521442">
        <w:rPr>
          <w:b/>
          <w:i/>
        </w:rPr>
        <w:t>Proposal 6: NR sidelink supports NR Uu SCS:</w:t>
      </w:r>
    </w:p>
    <w:p w14:paraId="69FB5782" w14:textId="77777777" w:rsidR="00536957" w:rsidRPr="00521442" w:rsidRDefault="00536957" w:rsidP="00536957">
      <w:pPr>
        <w:pStyle w:val="ListParagraph"/>
        <w:widowControl w:val="0"/>
        <w:numPr>
          <w:ilvl w:val="0"/>
          <w:numId w:val="3"/>
        </w:numPr>
        <w:overflowPunct w:val="0"/>
        <w:snapToGrid/>
        <w:spacing w:before="80" w:after="80"/>
        <w:jc w:val="left"/>
        <w:textAlignment w:val="baseline"/>
        <w:rPr>
          <w:rFonts w:eastAsia="MS Mincho"/>
          <w:b/>
          <w:i/>
        </w:rPr>
      </w:pPr>
      <w:r w:rsidRPr="00521442">
        <w:rPr>
          <w:rFonts w:eastAsia="MS Mincho"/>
          <w:b/>
          <w:i/>
        </w:rPr>
        <w:t>15 kHz, 30 kHz and 60 kHz for FR1</w:t>
      </w:r>
    </w:p>
    <w:p w14:paraId="0DFA9438" w14:textId="2EC44DB3" w:rsidR="00536957" w:rsidRPr="00521442" w:rsidRDefault="00536957" w:rsidP="00DC0AAE">
      <w:pPr>
        <w:pStyle w:val="ListParagraph"/>
        <w:widowControl w:val="0"/>
        <w:numPr>
          <w:ilvl w:val="0"/>
          <w:numId w:val="3"/>
        </w:numPr>
        <w:overflowPunct w:val="0"/>
        <w:spacing w:before="80" w:after="80"/>
        <w:contextualSpacing w:val="0"/>
        <w:jc w:val="left"/>
        <w:textAlignment w:val="baseline"/>
        <w:rPr>
          <w:rFonts w:eastAsia="MS Mincho"/>
          <w:b/>
          <w:i/>
        </w:rPr>
      </w:pPr>
      <w:r w:rsidRPr="00521442">
        <w:rPr>
          <w:rFonts w:eastAsia="MS Mincho"/>
          <w:b/>
          <w:i/>
        </w:rPr>
        <w:t>60 kHz and 120 kHz  for FR2</w:t>
      </w:r>
    </w:p>
    <w:p w14:paraId="178442F4" w14:textId="77777777" w:rsidR="00076B62" w:rsidRPr="00521442" w:rsidRDefault="00076B62" w:rsidP="00076B62">
      <w:pPr>
        <w:snapToGrid/>
        <w:contextualSpacing/>
        <w:jc w:val="left"/>
        <w:rPr>
          <w:b/>
          <w:i/>
        </w:rPr>
      </w:pPr>
      <w:r w:rsidRPr="00521442">
        <w:rPr>
          <w:b/>
          <w:i/>
        </w:rPr>
        <w:t xml:space="preserve">Proposal 7: Support extended CP at least for 60 kHz SCS in FR1. </w:t>
      </w:r>
    </w:p>
    <w:p w14:paraId="1443B945" w14:textId="6A778466" w:rsidR="00AE21BB" w:rsidRPr="00521442" w:rsidRDefault="00AE21BB" w:rsidP="000F76B5">
      <w:pPr>
        <w:snapToGrid/>
        <w:rPr>
          <w:rFonts w:eastAsia="MS Mincho"/>
          <w:b/>
          <w:i/>
        </w:rPr>
      </w:pPr>
      <w:r w:rsidRPr="00521442">
        <w:rPr>
          <w:rFonts w:eastAsia="MS Mincho"/>
          <w:b/>
          <w:i/>
        </w:rPr>
        <w:t xml:space="preserve">Proposal </w:t>
      </w:r>
      <w:r w:rsidR="00C21023" w:rsidRPr="00521442">
        <w:rPr>
          <w:rFonts w:eastAsia="MS Mincho"/>
          <w:b/>
          <w:i/>
        </w:rPr>
        <w:t>8</w:t>
      </w:r>
      <w:r w:rsidRPr="00521442">
        <w:rPr>
          <w:rFonts w:eastAsia="MS Mincho"/>
          <w:b/>
          <w:i/>
        </w:rPr>
        <w:t>: The NR sidelink frame structure design is based on the existing NR frame structure</w:t>
      </w:r>
    </w:p>
    <w:p w14:paraId="0527592C" w14:textId="77777777" w:rsidR="00AE21BB" w:rsidRPr="00521442" w:rsidRDefault="00AE21BB" w:rsidP="000F76B5">
      <w:pPr>
        <w:pStyle w:val="ListParagraph"/>
        <w:widowControl w:val="0"/>
        <w:numPr>
          <w:ilvl w:val="0"/>
          <w:numId w:val="3"/>
        </w:numPr>
        <w:overflowPunct w:val="0"/>
        <w:snapToGrid/>
        <w:spacing w:before="80" w:after="80"/>
        <w:textAlignment w:val="baseline"/>
        <w:rPr>
          <w:rFonts w:ascii="Arial" w:eastAsia="MS Mincho" w:hAnsi="Arial"/>
          <w:b/>
          <w:i/>
        </w:rPr>
      </w:pPr>
      <w:r w:rsidRPr="00521442">
        <w:rPr>
          <w:rFonts w:eastAsia="MS Mincho"/>
          <w:b/>
          <w:i/>
        </w:rPr>
        <w:t>Subframe configuration can allow sidelink-only slots and sidelink-Uu multiplexing within a slot</w:t>
      </w:r>
    </w:p>
    <w:p w14:paraId="51949CF0" w14:textId="77777777" w:rsidR="00AE21BB" w:rsidRPr="00521442" w:rsidRDefault="00AE21BB" w:rsidP="000F76B5">
      <w:pPr>
        <w:pStyle w:val="ListParagraph"/>
        <w:widowControl w:val="0"/>
        <w:numPr>
          <w:ilvl w:val="0"/>
          <w:numId w:val="3"/>
        </w:numPr>
        <w:overflowPunct w:val="0"/>
        <w:snapToGrid/>
        <w:spacing w:before="80" w:after="80"/>
        <w:textAlignment w:val="baseline"/>
        <w:rPr>
          <w:rFonts w:eastAsia="MS Mincho"/>
          <w:b/>
          <w:i/>
        </w:rPr>
      </w:pPr>
      <w:r w:rsidRPr="00521442">
        <w:rPr>
          <w:rFonts w:eastAsia="MS Mincho"/>
          <w:b/>
          <w:i/>
        </w:rPr>
        <w:t xml:space="preserve">The NR Uu slots and symbols indication can be reused, with resources configured as “flexible” on a per-cell basis, and overwritten on a per-UE basis, or group-common DCI with SFI-RNTI </w:t>
      </w:r>
    </w:p>
    <w:p w14:paraId="4D55869E" w14:textId="45600581" w:rsidR="00AE21BB" w:rsidRPr="00521442" w:rsidRDefault="00AE21BB" w:rsidP="000F76B5">
      <w:pPr>
        <w:snapToGrid/>
        <w:rPr>
          <w:rFonts w:eastAsia="MS Mincho"/>
          <w:b/>
          <w:i/>
        </w:rPr>
      </w:pPr>
      <w:r w:rsidRPr="00521442">
        <w:rPr>
          <w:rFonts w:eastAsia="MS Mincho"/>
          <w:b/>
          <w:i/>
        </w:rPr>
        <w:t xml:space="preserve">Proposal </w:t>
      </w:r>
      <w:r w:rsidR="00C21023" w:rsidRPr="00521442">
        <w:rPr>
          <w:rFonts w:eastAsia="MS Mincho"/>
          <w:b/>
          <w:i/>
        </w:rPr>
        <w:t>9</w:t>
      </w:r>
      <w:r w:rsidRPr="00521442">
        <w:rPr>
          <w:rFonts w:eastAsia="MS Mincho"/>
          <w:b/>
          <w:i/>
        </w:rPr>
        <w:t>: Study PSFCH located at the end of SL symbols in a slot.</w:t>
      </w:r>
    </w:p>
    <w:p w14:paraId="494D7485" w14:textId="310D449E" w:rsidR="00076B62" w:rsidRPr="00521442" w:rsidRDefault="00076B62" w:rsidP="00076B62">
      <w:pPr>
        <w:rPr>
          <w:rFonts w:eastAsia="MS Mincho"/>
          <w:b/>
          <w:i/>
        </w:rPr>
      </w:pPr>
      <w:r w:rsidRPr="00521442">
        <w:rPr>
          <w:rFonts w:eastAsia="MS Mincho"/>
          <w:b/>
          <w:i/>
        </w:rPr>
        <w:t xml:space="preserve">Observation </w:t>
      </w:r>
      <w:r w:rsidR="004B1740" w:rsidRPr="00521442">
        <w:rPr>
          <w:rFonts w:eastAsia="MS Mincho"/>
          <w:b/>
          <w:i/>
        </w:rPr>
        <w:t>4</w:t>
      </w:r>
      <w:r w:rsidRPr="00521442">
        <w:rPr>
          <w:rFonts w:eastAsia="MS Mincho"/>
          <w:b/>
          <w:i/>
        </w:rPr>
        <w:t xml:space="preserve">: One active BWP is associated with one RF chain. For a narrower BWP, a RF chain with smaller bandwidth could be used. </w:t>
      </w:r>
    </w:p>
    <w:p w14:paraId="3B7BDB5F" w14:textId="650E1F10" w:rsidR="00076B62" w:rsidRPr="00521442" w:rsidRDefault="00076B62" w:rsidP="00076B62">
      <w:pPr>
        <w:rPr>
          <w:rFonts w:eastAsia="MS Mincho"/>
          <w:b/>
          <w:i/>
        </w:rPr>
      </w:pPr>
      <w:r w:rsidRPr="00521442">
        <w:rPr>
          <w:rFonts w:eastAsia="MS Mincho"/>
          <w:b/>
          <w:i/>
        </w:rPr>
        <w:t xml:space="preserve">Observation </w:t>
      </w:r>
      <w:r w:rsidR="004B1740" w:rsidRPr="00521442">
        <w:rPr>
          <w:rFonts w:eastAsia="MS Mincho"/>
          <w:b/>
          <w:i/>
        </w:rPr>
        <w:t>5</w:t>
      </w:r>
      <w:r w:rsidRPr="00521442">
        <w:rPr>
          <w:rFonts w:eastAsia="MS Mincho"/>
          <w:b/>
          <w:i/>
        </w:rPr>
        <w:t>: Benefits of sidelink bandwidth part include:</w:t>
      </w:r>
    </w:p>
    <w:p w14:paraId="199BA92D" w14:textId="77777777" w:rsidR="00076B62" w:rsidRPr="00521442" w:rsidRDefault="00076B62" w:rsidP="00076B62">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UEs with different SL RF capabilities</w:t>
      </w:r>
    </w:p>
    <w:p w14:paraId="03B5D8C7" w14:textId="77777777" w:rsidR="00076B62" w:rsidRPr="00521442" w:rsidRDefault="00076B62" w:rsidP="00076B62">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coexistence of Uu and SL transmission in shared licensed carrier</w:t>
      </w:r>
    </w:p>
    <w:p w14:paraId="7249EAF5" w14:textId="77777777" w:rsidR="00076B62" w:rsidRPr="00521442" w:rsidRDefault="00076B62" w:rsidP="00076B62">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flexible sidelink numerology</w:t>
      </w:r>
    </w:p>
    <w:p w14:paraId="18C7C0B4" w14:textId="77777777" w:rsidR="00076B62" w:rsidRPr="00521442" w:rsidRDefault="00076B62" w:rsidP="00076B62">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SL UE power saving, particularly for pedestrian UEs</w:t>
      </w:r>
    </w:p>
    <w:p w14:paraId="41C5100F" w14:textId="247CAB0E" w:rsidR="004B1740" w:rsidRPr="00521442" w:rsidRDefault="004B1740" w:rsidP="00A24468">
      <w:pPr>
        <w:numPr>
          <w:ilvl w:val="2"/>
          <w:numId w:val="4"/>
        </w:numPr>
        <w:autoSpaceDE/>
        <w:autoSpaceDN/>
        <w:adjustRightInd/>
        <w:spacing w:after="0"/>
        <w:ind w:leftChars="210" w:left="882"/>
        <w:rPr>
          <w:rFonts w:eastAsia="MS Mincho"/>
          <w:b/>
          <w:i/>
        </w:rPr>
      </w:pPr>
      <w:r w:rsidRPr="00521442">
        <w:rPr>
          <w:rFonts w:eastAsia="MS Mincho"/>
          <w:b/>
          <w:i/>
        </w:rPr>
        <w:t>Supporting SL UE power saving, particularly for pedestrian UEs</w:t>
      </w:r>
    </w:p>
    <w:p w14:paraId="32FFA732" w14:textId="77777777" w:rsidR="004B1740" w:rsidRPr="00521442" w:rsidRDefault="004B1740" w:rsidP="00A24468">
      <w:pPr>
        <w:rPr>
          <w:rFonts w:eastAsia="MS Mincho"/>
          <w:b/>
          <w:i/>
        </w:rPr>
      </w:pPr>
      <w:r w:rsidRPr="00521442">
        <w:rPr>
          <w:rFonts w:eastAsia="MS Mincho"/>
          <w:b/>
          <w:i/>
        </w:rPr>
        <w:t xml:space="preserve">Proposal 10: The Uu BWP concept is reused for the sidelink, with sidelink transmission/reception occurring within a SL-BWP. A SL-BWP can be UE-specifically configured. </w:t>
      </w:r>
    </w:p>
    <w:p w14:paraId="0970556E" w14:textId="412330E4" w:rsidR="00076B62" w:rsidRPr="00521442" w:rsidRDefault="00076B62" w:rsidP="00076B62">
      <w:pPr>
        <w:rPr>
          <w:rFonts w:eastAsia="MS Mincho"/>
          <w:b/>
          <w:i/>
        </w:rPr>
      </w:pPr>
      <w:r w:rsidRPr="00521442">
        <w:rPr>
          <w:rFonts w:eastAsia="MS Mincho"/>
          <w:b/>
          <w:i/>
        </w:rPr>
        <w:t xml:space="preserve">Observation </w:t>
      </w:r>
      <w:r w:rsidR="004B1740" w:rsidRPr="00521442">
        <w:rPr>
          <w:rFonts w:eastAsia="MS Mincho"/>
          <w:b/>
          <w:i/>
        </w:rPr>
        <w:t>6</w:t>
      </w:r>
      <w:r w:rsidRPr="00521442">
        <w:rPr>
          <w:rFonts w:eastAsia="MS Mincho"/>
          <w:b/>
          <w:i/>
        </w:rPr>
        <w:t xml:space="preserve">: Benefits of resource pool </w:t>
      </w:r>
      <w:r w:rsidR="00AC4C21">
        <w:rPr>
          <w:rFonts w:eastAsia="MS Mincho"/>
          <w:b/>
          <w:i/>
        </w:rPr>
        <w:t xml:space="preserve">(on top of BWP) </w:t>
      </w:r>
      <w:r w:rsidRPr="00521442">
        <w:rPr>
          <w:rFonts w:eastAsia="MS Mincho"/>
          <w:b/>
          <w:i/>
        </w:rPr>
        <w:t>include:</w:t>
      </w:r>
    </w:p>
    <w:p w14:paraId="3589FFCE" w14:textId="77777777" w:rsidR="00076B62" w:rsidRPr="00521442" w:rsidRDefault="00076B62" w:rsidP="00076B62">
      <w:pPr>
        <w:numPr>
          <w:ilvl w:val="2"/>
          <w:numId w:val="4"/>
        </w:numPr>
        <w:autoSpaceDE/>
        <w:autoSpaceDN/>
        <w:adjustRightInd/>
        <w:snapToGrid/>
        <w:spacing w:after="0"/>
        <w:ind w:leftChars="210" w:left="882"/>
        <w:contextualSpacing/>
        <w:rPr>
          <w:rFonts w:eastAsia="MS Mincho"/>
          <w:b/>
          <w:i/>
        </w:rPr>
      </w:pPr>
      <w:r w:rsidRPr="00521442">
        <w:rPr>
          <w:rFonts w:eastAsia="MS Mincho"/>
          <w:b/>
          <w:i/>
        </w:rPr>
        <w:t xml:space="preserve">Supporting UE autonomous resource selection </w:t>
      </w:r>
    </w:p>
    <w:p w14:paraId="0A274713" w14:textId="77777777" w:rsidR="00076B62" w:rsidRPr="00521442" w:rsidRDefault="00076B62" w:rsidP="00076B62">
      <w:pPr>
        <w:numPr>
          <w:ilvl w:val="2"/>
          <w:numId w:val="4"/>
        </w:numPr>
        <w:autoSpaceDE/>
        <w:autoSpaceDN/>
        <w:adjustRightInd/>
        <w:snapToGrid/>
        <w:spacing w:after="0"/>
        <w:ind w:leftChars="210" w:left="882"/>
        <w:contextualSpacing/>
        <w:rPr>
          <w:rFonts w:eastAsia="MS Mincho"/>
          <w:b/>
          <w:i/>
        </w:rPr>
      </w:pPr>
      <w:r w:rsidRPr="00521442">
        <w:rPr>
          <w:rFonts w:eastAsia="MS Mincho"/>
          <w:b/>
          <w:i/>
        </w:rPr>
        <w:t>Supporting time-domain resource selection</w:t>
      </w:r>
    </w:p>
    <w:p w14:paraId="5F16AE02" w14:textId="77777777" w:rsidR="004B1740" w:rsidRPr="00521442" w:rsidRDefault="004B1740" w:rsidP="00A24468">
      <w:pPr>
        <w:snapToGrid/>
        <w:rPr>
          <w:rFonts w:eastAsia="MS Mincho"/>
          <w:b/>
          <w:i/>
        </w:rPr>
      </w:pPr>
      <w:r w:rsidRPr="00521442">
        <w:rPr>
          <w:b/>
          <w:bCs/>
          <w:i/>
          <w:iCs/>
        </w:rPr>
        <w:t>Proposal 11: For a UE, each configured resource pool</w:t>
      </w:r>
      <w:r w:rsidRPr="00521442">
        <w:rPr>
          <w:b/>
          <w:bCs/>
          <w:i/>
          <w:iCs/>
          <w:color w:val="FF0000"/>
        </w:rPr>
        <w:t xml:space="preserve"> </w:t>
      </w:r>
      <w:r w:rsidRPr="00521442">
        <w:rPr>
          <w:b/>
          <w:bCs/>
          <w:i/>
          <w:iCs/>
        </w:rPr>
        <w:t xml:space="preserve">is </w:t>
      </w:r>
      <w:r w:rsidRPr="00521442">
        <w:rPr>
          <w:b/>
          <w:bCs/>
          <w:i/>
          <w:iCs/>
          <w:color w:val="000000" w:themeColor="text1"/>
        </w:rPr>
        <w:t xml:space="preserve">defined </w:t>
      </w:r>
      <w:r w:rsidRPr="00521442">
        <w:rPr>
          <w:b/>
          <w:bCs/>
          <w:i/>
          <w:iCs/>
        </w:rPr>
        <w:t>within a SL BWP in frequency domain, with the association of resource pools to BWPs configured by higher layers.</w:t>
      </w:r>
    </w:p>
    <w:p w14:paraId="4404B813" w14:textId="77777777" w:rsidR="00641B15" w:rsidRPr="00521442" w:rsidRDefault="00641B15" w:rsidP="00641B15">
      <w:pPr>
        <w:rPr>
          <w:rFonts w:eastAsia="MS Mincho"/>
          <w:b/>
          <w:i/>
        </w:rPr>
      </w:pPr>
      <w:r w:rsidRPr="00521442">
        <w:rPr>
          <w:rFonts w:eastAsia="MS Mincho"/>
          <w:b/>
          <w:i/>
        </w:rPr>
        <w:t>Proposal 12: Support both option 2 and option 3 for multiplexing of PSCCH and associated PSSCH.</w:t>
      </w:r>
    </w:p>
    <w:p w14:paraId="43D58D04" w14:textId="30C5B39C" w:rsidR="00013691" w:rsidRPr="00521442" w:rsidRDefault="00013691" w:rsidP="00DC0AAE">
      <w:pPr>
        <w:rPr>
          <w:rFonts w:eastAsia="MS Mincho"/>
          <w:b/>
          <w:i/>
        </w:rPr>
      </w:pPr>
      <w:r w:rsidRPr="00521442">
        <w:rPr>
          <w:rFonts w:eastAsia="MS Mincho"/>
          <w:b/>
          <w:i/>
        </w:rPr>
        <w:t>Proposal 13: Support to multiplex TDM and FDM structure of PSCCH and PSSCH:</w:t>
      </w:r>
    </w:p>
    <w:p w14:paraId="1135B87F" w14:textId="1EC59E6B" w:rsidR="00AE21BB" w:rsidRPr="00521442" w:rsidRDefault="00AE21BB" w:rsidP="004410B9">
      <w:pPr>
        <w:pStyle w:val="ListParagraph"/>
        <w:widowControl w:val="0"/>
        <w:numPr>
          <w:ilvl w:val="0"/>
          <w:numId w:val="3"/>
        </w:numPr>
        <w:overflowPunct w:val="0"/>
        <w:snapToGrid/>
        <w:spacing w:before="80" w:after="80"/>
        <w:textAlignment w:val="baseline"/>
        <w:rPr>
          <w:rFonts w:eastAsia="MS Mincho"/>
          <w:b/>
          <w:i/>
        </w:rPr>
      </w:pPr>
      <w:r w:rsidRPr="00521442">
        <w:rPr>
          <w:rFonts w:eastAsia="MS Mincho"/>
          <w:b/>
          <w:i/>
        </w:rPr>
        <w:lastRenderedPageBreak/>
        <w:t xml:space="preserve">Option 1 </w:t>
      </w:r>
      <w:r w:rsidR="00A60BF6" w:rsidRPr="00521442">
        <w:rPr>
          <w:rFonts w:eastAsia="MS Mincho"/>
          <w:b/>
          <w:i/>
        </w:rPr>
        <w:t xml:space="preserve">multiplexing TDM and FDM </w:t>
      </w:r>
      <w:r w:rsidRPr="00521442">
        <w:rPr>
          <w:rFonts w:eastAsia="MS Mincho"/>
          <w:b/>
          <w:i/>
        </w:rPr>
        <w:t>in orthogonal resource pools:</w:t>
      </w:r>
    </w:p>
    <w:p w14:paraId="54F3A2F9" w14:textId="2A6F546D" w:rsidR="00AE21BB" w:rsidRPr="00521442" w:rsidRDefault="00AE21BB" w:rsidP="004410B9">
      <w:pPr>
        <w:pStyle w:val="ListParagraph"/>
        <w:widowControl w:val="0"/>
        <w:numPr>
          <w:ilvl w:val="0"/>
          <w:numId w:val="3"/>
        </w:numPr>
        <w:overflowPunct w:val="0"/>
        <w:snapToGrid/>
        <w:spacing w:before="80" w:after="80"/>
        <w:textAlignment w:val="baseline"/>
        <w:rPr>
          <w:rFonts w:eastAsia="MS Mincho"/>
          <w:b/>
          <w:i/>
        </w:rPr>
      </w:pPr>
      <w:r w:rsidRPr="00521442">
        <w:rPr>
          <w:rFonts w:eastAsia="MS Mincho"/>
          <w:b/>
          <w:i/>
        </w:rPr>
        <w:t xml:space="preserve">Option 2 </w:t>
      </w:r>
      <w:r w:rsidR="00A60BF6" w:rsidRPr="00521442">
        <w:rPr>
          <w:rFonts w:eastAsia="MS Mincho"/>
          <w:b/>
          <w:i/>
        </w:rPr>
        <w:t xml:space="preserve">multiplexing TDM and FDM </w:t>
      </w:r>
      <w:r w:rsidRPr="00521442">
        <w:rPr>
          <w:rFonts w:eastAsia="MS Mincho"/>
          <w:b/>
          <w:i/>
        </w:rPr>
        <w:t>in shared resource pools</w:t>
      </w:r>
    </w:p>
    <w:p w14:paraId="19E2D062" w14:textId="28F6C218" w:rsidR="004B1740" w:rsidRPr="00521442" w:rsidRDefault="004B1740" w:rsidP="00A24468">
      <w:r w:rsidRPr="00521442">
        <w:rPr>
          <w:b/>
          <w:i/>
          <w:lang w:eastAsia="zh-CN"/>
        </w:rPr>
        <w:t>Proposal 14:</w:t>
      </w:r>
      <w:r w:rsidRPr="00521442">
        <w:t xml:space="preserve"> </w:t>
      </w:r>
      <w:r w:rsidRPr="00521442">
        <w:rPr>
          <w:b/>
          <w:i/>
          <w:lang w:eastAsia="zh-CN"/>
        </w:rPr>
        <w:t xml:space="preserve">In NR V2X, SL SRS, DMRS, CSI-RS, </w:t>
      </w:r>
      <w:r w:rsidR="000F3F9C" w:rsidRPr="00521442">
        <w:rPr>
          <w:b/>
          <w:i/>
          <w:lang w:eastAsia="zh-CN"/>
        </w:rPr>
        <w:t xml:space="preserve">TRS, </w:t>
      </w:r>
      <w:r w:rsidRPr="00521442">
        <w:rPr>
          <w:b/>
          <w:i/>
          <w:lang w:eastAsia="zh-CN"/>
        </w:rPr>
        <w:t>PT-RS, and AGC training signal need to be further investigated.</w:t>
      </w:r>
    </w:p>
    <w:p w14:paraId="573374E8" w14:textId="77777777" w:rsidR="001D780E" w:rsidRPr="00521442" w:rsidRDefault="001D780E" w:rsidP="000F76B5">
      <w:pPr>
        <w:pStyle w:val="Heading1"/>
        <w:snapToGrid/>
        <w:contextualSpacing/>
      </w:pPr>
      <w:r w:rsidRPr="00521442">
        <w:t>References</w:t>
      </w:r>
    </w:p>
    <w:p w14:paraId="6C18BE26" w14:textId="77777777" w:rsidR="00267E5E" w:rsidRPr="00521442" w:rsidRDefault="00267E5E" w:rsidP="000F76B5">
      <w:pPr>
        <w:pStyle w:val="ListParagraph"/>
        <w:widowControl w:val="0"/>
        <w:numPr>
          <w:ilvl w:val="0"/>
          <w:numId w:val="7"/>
        </w:numPr>
        <w:overflowPunct w:val="0"/>
        <w:snapToGrid/>
        <w:spacing w:before="80" w:after="80"/>
        <w:textAlignment w:val="baseline"/>
        <w:rPr>
          <w:sz w:val="20"/>
          <w:szCs w:val="20"/>
        </w:rPr>
      </w:pPr>
      <w:bookmarkStart w:id="31" w:name="_Ref524445140"/>
      <w:bookmarkStart w:id="32" w:name="_Ref521596413"/>
      <w:bookmarkStart w:id="33" w:name="_Ref521601297"/>
      <w:bookmarkStart w:id="34" w:name="_Ref518987443"/>
      <w:bookmarkStart w:id="35" w:name="_Ref167612671"/>
      <w:bookmarkEnd w:id="27"/>
      <w:bookmarkEnd w:id="28"/>
      <w:bookmarkEnd w:id="29"/>
      <w:r w:rsidRPr="00521442">
        <w:rPr>
          <w:rFonts w:hint="eastAsia"/>
          <w:sz w:val="20"/>
          <w:szCs w:val="20"/>
          <w:lang w:eastAsia="zh-CN"/>
        </w:rPr>
        <w:t>R1-1809799</w:t>
      </w:r>
      <w:r w:rsidR="009B7D6D" w:rsidRPr="00521442">
        <w:rPr>
          <w:sz w:val="20"/>
          <w:szCs w:val="20"/>
          <w:lang w:eastAsia="zh-CN"/>
        </w:rPr>
        <w:t>,</w:t>
      </w:r>
      <w:r w:rsidRPr="00521442">
        <w:rPr>
          <w:rFonts w:hint="eastAsia"/>
          <w:sz w:val="20"/>
          <w:szCs w:val="20"/>
          <w:lang w:eastAsia="zh-CN"/>
        </w:rPr>
        <w:t xml:space="preserve"> </w:t>
      </w:r>
      <w:r w:rsidRPr="00521442">
        <w:rPr>
          <w:sz w:val="20"/>
          <w:szCs w:val="20"/>
          <w:lang w:eastAsia="zh-CN"/>
        </w:rPr>
        <w:t>“Offline Summary for 7.2.4.1.2”, LG Electronics, Gothenburg, Sweden, August, 2018</w:t>
      </w:r>
      <w:bookmarkEnd w:id="31"/>
    </w:p>
    <w:p w14:paraId="0C4397CB" w14:textId="77777777" w:rsidR="00267E5E" w:rsidRPr="00521442" w:rsidRDefault="009B7D6D" w:rsidP="000F76B5">
      <w:pPr>
        <w:pStyle w:val="ListParagraph"/>
        <w:widowControl w:val="0"/>
        <w:numPr>
          <w:ilvl w:val="0"/>
          <w:numId w:val="7"/>
        </w:numPr>
        <w:overflowPunct w:val="0"/>
        <w:snapToGrid/>
        <w:spacing w:before="80" w:after="80"/>
        <w:textAlignment w:val="baseline"/>
        <w:rPr>
          <w:sz w:val="20"/>
          <w:szCs w:val="20"/>
        </w:rPr>
      </w:pPr>
      <w:bookmarkStart w:id="36" w:name="_Ref524445146"/>
      <w:r w:rsidRPr="00521442">
        <w:rPr>
          <w:sz w:val="20"/>
        </w:rPr>
        <w:t xml:space="preserve">Draft Report of 3GPP TSG RAN WG1 #94 v0.1.0, </w:t>
      </w:r>
      <w:r w:rsidRPr="00521442">
        <w:rPr>
          <w:sz w:val="20"/>
          <w:szCs w:val="20"/>
          <w:lang w:eastAsia="zh-CN"/>
        </w:rPr>
        <w:t>Gothenburg, Sweden, August, 2018</w:t>
      </w:r>
      <w:bookmarkEnd w:id="36"/>
    </w:p>
    <w:p w14:paraId="1822EE16" w14:textId="37F16243" w:rsidR="00F02D8D" w:rsidRPr="00521442" w:rsidRDefault="00F02D8D" w:rsidP="000F76B5">
      <w:pPr>
        <w:pStyle w:val="ListParagraph"/>
        <w:widowControl w:val="0"/>
        <w:numPr>
          <w:ilvl w:val="0"/>
          <w:numId w:val="7"/>
        </w:numPr>
        <w:overflowPunct w:val="0"/>
        <w:snapToGrid/>
        <w:spacing w:before="80" w:after="80"/>
        <w:textAlignment w:val="baseline"/>
        <w:rPr>
          <w:sz w:val="20"/>
          <w:szCs w:val="20"/>
        </w:rPr>
      </w:pPr>
      <w:bookmarkStart w:id="37" w:name="_Ref524445121"/>
      <w:r w:rsidRPr="00521442">
        <w:rPr>
          <w:sz w:val="20"/>
          <w:szCs w:val="20"/>
        </w:rPr>
        <w:t>RP-18</w:t>
      </w:r>
      <w:r w:rsidR="00764A80" w:rsidRPr="00521442">
        <w:rPr>
          <w:sz w:val="20"/>
          <w:szCs w:val="20"/>
        </w:rPr>
        <w:t>2111</w:t>
      </w:r>
      <w:r w:rsidRPr="00521442">
        <w:rPr>
          <w:sz w:val="20"/>
          <w:szCs w:val="20"/>
        </w:rPr>
        <w:t>, “</w:t>
      </w:r>
      <w:r w:rsidR="00764A80" w:rsidRPr="00521442">
        <w:rPr>
          <w:sz w:val="20"/>
          <w:szCs w:val="20"/>
        </w:rPr>
        <w:t xml:space="preserve">Revised </w:t>
      </w:r>
      <w:r w:rsidRPr="00521442">
        <w:rPr>
          <w:sz w:val="20"/>
          <w:szCs w:val="20"/>
        </w:rPr>
        <w:t xml:space="preserve">SID: Study on NR V2X”, </w:t>
      </w:r>
      <w:bookmarkStart w:id="38" w:name="_Ref521596282"/>
      <w:bookmarkEnd w:id="32"/>
      <w:bookmarkEnd w:id="33"/>
      <w:r w:rsidR="00764A80" w:rsidRPr="00521442">
        <w:rPr>
          <w:sz w:val="20"/>
          <w:szCs w:val="20"/>
        </w:rPr>
        <w:t>LG, Gold Coast, Australia,</w:t>
      </w:r>
      <w:r w:rsidR="00715C5B" w:rsidRPr="00521442">
        <w:rPr>
          <w:sz w:val="20"/>
          <w:szCs w:val="20"/>
        </w:rPr>
        <w:t xml:space="preserve"> 2018</w:t>
      </w:r>
      <w:bookmarkEnd w:id="37"/>
    </w:p>
    <w:p w14:paraId="0F148355" w14:textId="77777777" w:rsidR="00F02D8D" w:rsidRPr="00521442" w:rsidRDefault="00F02D8D" w:rsidP="000F76B5">
      <w:pPr>
        <w:pStyle w:val="ListParagraph"/>
        <w:widowControl w:val="0"/>
        <w:numPr>
          <w:ilvl w:val="0"/>
          <w:numId w:val="7"/>
        </w:numPr>
        <w:overflowPunct w:val="0"/>
        <w:snapToGrid/>
        <w:spacing w:before="80" w:after="80"/>
        <w:textAlignment w:val="baseline"/>
        <w:rPr>
          <w:sz w:val="20"/>
          <w:szCs w:val="20"/>
        </w:rPr>
      </w:pPr>
      <w:bookmarkStart w:id="39" w:name="_Ref521601378"/>
      <w:bookmarkEnd w:id="38"/>
      <w:r w:rsidRPr="00521442">
        <w:rPr>
          <w:sz w:val="20"/>
          <w:szCs w:val="20"/>
        </w:rPr>
        <w:t>TR 22.186: "Service requirements for enhanced V2X scenarios".</w:t>
      </w:r>
      <w:bookmarkStart w:id="40" w:name="_Ref521596926"/>
      <w:bookmarkEnd w:id="39"/>
    </w:p>
    <w:p w14:paraId="20FF1658" w14:textId="14CB314F" w:rsidR="00F02D8D" w:rsidRPr="00521442" w:rsidRDefault="009B7D6D" w:rsidP="000F76B5">
      <w:pPr>
        <w:pStyle w:val="ListParagraph"/>
        <w:widowControl w:val="0"/>
        <w:numPr>
          <w:ilvl w:val="0"/>
          <w:numId w:val="7"/>
        </w:numPr>
        <w:overflowPunct w:val="0"/>
        <w:snapToGrid/>
        <w:spacing w:before="80" w:after="80"/>
        <w:textAlignment w:val="baseline"/>
        <w:rPr>
          <w:sz w:val="20"/>
          <w:szCs w:val="20"/>
        </w:rPr>
      </w:pPr>
      <w:bookmarkStart w:id="41" w:name="_Ref524445165"/>
      <w:bookmarkEnd w:id="40"/>
      <w:r w:rsidRPr="00521442">
        <w:rPr>
          <w:sz w:val="20"/>
          <w:szCs w:val="20"/>
        </w:rPr>
        <w:t>R1-</w:t>
      </w:r>
      <w:r w:rsidR="004B1740" w:rsidRPr="00521442">
        <w:rPr>
          <w:sz w:val="20"/>
          <w:szCs w:val="20"/>
        </w:rPr>
        <w:t>1810712</w:t>
      </w:r>
      <w:r w:rsidRPr="00521442">
        <w:rPr>
          <w:sz w:val="20"/>
          <w:szCs w:val="20"/>
        </w:rPr>
        <w:t>,</w:t>
      </w:r>
      <w:r w:rsidR="00F02D8D" w:rsidRPr="00521442">
        <w:rPr>
          <w:sz w:val="20"/>
          <w:szCs w:val="20"/>
        </w:rPr>
        <w:t xml:space="preserve"> "</w:t>
      </w:r>
      <w:r w:rsidRPr="00521442">
        <w:rPr>
          <w:sz w:val="20"/>
          <w:szCs w:val="20"/>
        </w:rPr>
        <w:t>Link level evaluations on sidelink for NR V2X</w:t>
      </w:r>
      <w:r w:rsidR="00F02D8D" w:rsidRPr="00521442">
        <w:rPr>
          <w:sz w:val="20"/>
          <w:szCs w:val="20"/>
        </w:rPr>
        <w:t>".</w:t>
      </w:r>
      <w:bookmarkStart w:id="42" w:name="_Ref521596928"/>
      <w:bookmarkEnd w:id="34"/>
      <w:r w:rsidRPr="00521442">
        <w:rPr>
          <w:sz w:val="20"/>
          <w:szCs w:val="20"/>
        </w:rPr>
        <w:t xml:space="preserve"> Huawei, HiSilicon, Chengdu, China, October, 2018</w:t>
      </w:r>
      <w:bookmarkEnd w:id="41"/>
    </w:p>
    <w:p w14:paraId="7508E5DD" w14:textId="522F5BE5" w:rsidR="00F02D8D" w:rsidRPr="00521442" w:rsidRDefault="00F02D8D" w:rsidP="000F76B5">
      <w:pPr>
        <w:pStyle w:val="ListParagraph"/>
        <w:widowControl w:val="0"/>
        <w:numPr>
          <w:ilvl w:val="0"/>
          <w:numId w:val="7"/>
        </w:numPr>
        <w:overflowPunct w:val="0"/>
        <w:snapToGrid/>
        <w:spacing w:before="80" w:after="80"/>
        <w:textAlignment w:val="baseline"/>
        <w:rPr>
          <w:sz w:val="20"/>
          <w:szCs w:val="20"/>
        </w:rPr>
      </w:pPr>
      <w:bookmarkStart w:id="43" w:name="_Ref521601397"/>
      <w:bookmarkStart w:id="44" w:name="_Ref524445095"/>
      <w:bookmarkEnd w:id="42"/>
      <w:r w:rsidRPr="00521442">
        <w:rPr>
          <w:sz w:val="20"/>
          <w:szCs w:val="20"/>
        </w:rPr>
        <w:t>R</w:t>
      </w:r>
      <w:r w:rsidR="009B7D6D" w:rsidRPr="00521442">
        <w:rPr>
          <w:sz w:val="20"/>
          <w:szCs w:val="20"/>
        </w:rPr>
        <w:t>1-</w:t>
      </w:r>
      <w:r w:rsidR="004B1740" w:rsidRPr="00521442">
        <w:rPr>
          <w:sz w:val="20"/>
          <w:szCs w:val="20"/>
        </w:rPr>
        <w:t>1810710</w:t>
      </w:r>
      <w:r w:rsidRPr="00521442">
        <w:rPr>
          <w:sz w:val="20"/>
          <w:szCs w:val="20"/>
        </w:rPr>
        <w:t>: “</w:t>
      </w:r>
      <w:r w:rsidR="00E1418D" w:rsidRPr="00521442">
        <w:rPr>
          <w:sz w:val="20"/>
          <w:szCs w:val="20"/>
        </w:rPr>
        <w:t>Discussion on reference signal for sidelink control and data channel design</w:t>
      </w:r>
      <w:r w:rsidRPr="00521442">
        <w:rPr>
          <w:sz w:val="20"/>
          <w:szCs w:val="20"/>
        </w:rPr>
        <w:t>”, Huawei, HiSilicon</w:t>
      </w:r>
      <w:bookmarkEnd w:id="43"/>
      <w:r w:rsidR="00715C5B" w:rsidRPr="00521442">
        <w:rPr>
          <w:sz w:val="20"/>
          <w:szCs w:val="20"/>
        </w:rPr>
        <w:t xml:space="preserve">, </w:t>
      </w:r>
      <w:r w:rsidR="009B7D6D" w:rsidRPr="00521442">
        <w:rPr>
          <w:sz w:val="20"/>
          <w:szCs w:val="20"/>
        </w:rPr>
        <w:t>Chengdu, China, October, 2018</w:t>
      </w:r>
      <w:bookmarkEnd w:id="44"/>
    </w:p>
    <w:p w14:paraId="71673C74" w14:textId="7018ACE3" w:rsidR="002B58AC" w:rsidRPr="00521442" w:rsidRDefault="00151781" w:rsidP="000F76B5">
      <w:pPr>
        <w:pStyle w:val="ListParagraph"/>
        <w:widowControl w:val="0"/>
        <w:numPr>
          <w:ilvl w:val="0"/>
          <w:numId w:val="7"/>
        </w:numPr>
        <w:overflowPunct w:val="0"/>
        <w:snapToGrid/>
        <w:spacing w:before="80" w:after="80"/>
        <w:textAlignment w:val="baseline"/>
        <w:rPr>
          <w:sz w:val="20"/>
          <w:szCs w:val="20"/>
        </w:rPr>
      </w:pPr>
      <w:bookmarkStart w:id="45" w:name="_Ref521601366"/>
      <w:bookmarkStart w:id="46" w:name="_Ref524445103"/>
      <w:r w:rsidRPr="00521442">
        <w:rPr>
          <w:sz w:val="20"/>
          <w:szCs w:val="20"/>
        </w:rPr>
        <w:t>R</w:t>
      </w:r>
      <w:r w:rsidR="0005345E" w:rsidRPr="00521442">
        <w:rPr>
          <w:sz w:val="20"/>
          <w:szCs w:val="20"/>
        </w:rPr>
        <w:t>1-18</w:t>
      </w:r>
      <w:r w:rsidR="00E1418D" w:rsidRPr="00521442">
        <w:rPr>
          <w:sz w:val="20"/>
          <w:szCs w:val="20"/>
        </w:rPr>
        <w:t>10137</w:t>
      </w:r>
      <w:r w:rsidR="00F02D8D" w:rsidRPr="00521442">
        <w:rPr>
          <w:sz w:val="20"/>
          <w:szCs w:val="20"/>
        </w:rPr>
        <w:t xml:space="preserve"> “</w:t>
      </w:r>
      <w:r w:rsidR="009B7D6D" w:rsidRPr="00521442">
        <w:rPr>
          <w:sz w:val="20"/>
          <w:szCs w:val="20"/>
        </w:rPr>
        <w:t>Support for sidelink unicast, groupcast, and broadcast</w:t>
      </w:r>
      <w:r w:rsidR="00F02D8D" w:rsidRPr="00521442">
        <w:rPr>
          <w:sz w:val="20"/>
          <w:szCs w:val="20"/>
        </w:rPr>
        <w:t>”, Huawei, HiSilicon</w:t>
      </w:r>
      <w:bookmarkStart w:id="47" w:name="_Ref521596944"/>
      <w:bookmarkEnd w:id="45"/>
      <w:r w:rsidR="00715C5B" w:rsidRPr="00521442">
        <w:rPr>
          <w:sz w:val="20"/>
          <w:szCs w:val="20"/>
        </w:rPr>
        <w:t xml:space="preserve">, </w:t>
      </w:r>
      <w:r w:rsidR="009B7D6D" w:rsidRPr="00521442">
        <w:rPr>
          <w:sz w:val="20"/>
          <w:szCs w:val="20"/>
        </w:rPr>
        <w:t>Chengdu, China, October, 2018</w:t>
      </w:r>
      <w:bookmarkEnd w:id="0"/>
      <w:bookmarkEnd w:id="35"/>
      <w:bookmarkEnd w:id="46"/>
      <w:bookmarkEnd w:id="47"/>
    </w:p>
    <w:p w14:paraId="5FF4CF1D" w14:textId="3E82D2E7" w:rsidR="001C1D90" w:rsidRPr="00521442" w:rsidRDefault="00F928EE">
      <w:pPr>
        <w:pStyle w:val="ListParagraph"/>
        <w:widowControl w:val="0"/>
        <w:numPr>
          <w:ilvl w:val="0"/>
          <w:numId w:val="7"/>
        </w:numPr>
        <w:overflowPunct w:val="0"/>
        <w:snapToGrid/>
        <w:spacing w:before="80" w:after="80"/>
        <w:textAlignment w:val="baseline"/>
        <w:rPr>
          <w:sz w:val="20"/>
          <w:szCs w:val="20"/>
        </w:rPr>
      </w:pPr>
      <w:bookmarkStart w:id="48" w:name="_Ref525199150"/>
      <w:r w:rsidRPr="00521442">
        <w:rPr>
          <w:sz w:val="20"/>
          <w:szCs w:val="20"/>
        </w:rPr>
        <w:t>R1-</w:t>
      </w:r>
      <w:r w:rsidR="004B1740" w:rsidRPr="00521442">
        <w:rPr>
          <w:sz w:val="20"/>
          <w:szCs w:val="20"/>
        </w:rPr>
        <w:t xml:space="preserve">1810711 </w:t>
      </w:r>
      <w:r w:rsidRPr="00521442">
        <w:rPr>
          <w:sz w:val="20"/>
          <w:szCs w:val="20"/>
        </w:rPr>
        <w:t>“System level evaluations on sidelink for NR V2X”, Huawei, HiSilicon, Chengdu, China, October, 2018</w:t>
      </w:r>
      <w:bookmarkEnd w:id="48"/>
    </w:p>
    <w:sectPr w:rsidR="001C1D90" w:rsidRPr="00521442"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AC9CB" w14:textId="77777777" w:rsidR="00B36358" w:rsidRDefault="00B36358">
      <w:r>
        <w:separator/>
      </w:r>
    </w:p>
  </w:endnote>
  <w:endnote w:type="continuationSeparator" w:id="0">
    <w:p w14:paraId="1CB20F12" w14:textId="77777777" w:rsidR="00B36358" w:rsidRDefault="00B36358">
      <w:r>
        <w:continuationSeparator/>
      </w:r>
    </w:p>
  </w:endnote>
  <w:endnote w:type="continuationNotice" w:id="1">
    <w:p w14:paraId="6AEBAF1C" w14:textId="77777777" w:rsidR="00B36358" w:rsidRDefault="00B36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320F2" w14:textId="77777777" w:rsidR="00B36358" w:rsidRDefault="00B36358">
      <w:r>
        <w:separator/>
      </w:r>
    </w:p>
  </w:footnote>
  <w:footnote w:type="continuationSeparator" w:id="0">
    <w:p w14:paraId="2AD24ED2" w14:textId="77777777" w:rsidR="00B36358" w:rsidRDefault="00B36358">
      <w:r>
        <w:continuationSeparator/>
      </w:r>
    </w:p>
  </w:footnote>
  <w:footnote w:type="continuationNotice" w:id="1">
    <w:p w14:paraId="2207376E" w14:textId="77777777" w:rsidR="00B36358" w:rsidRDefault="00B363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0"/>
  </w:num>
  <w:num w:numId="2">
    <w:abstractNumId w:val="9"/>
  </w:num>
  <w:num w:numId="3">
    <w:abstractNumId w:val="2"/>
  </w:num>
  <w:num w:numId="4">
    <w:abstractNumId w:val="7"/>
  </w:num>
  <w:num w:numId="5">
    <w:abstractNumId w:val="19"/>
  </w:num>
  <w:num w:numId="6">
    <w:abstractNumId w:val="3"/>
  </w:num>
  <w:num w:numId="7">
    <w:abstractNumId w:val="20"/>
  </w:num>
  <w:num w:numId="8">
    <w:abstractNumId w:val="21"/>
  </w:num>
  <w:num w:numId="9">
    <w:abstractNumId w:val="6"/>
  </w:num>
  <w:num w:numId="10">
    <w:abstractNumId w:val="26"/>
  </w:num>
  <w:num w:numId="11">
    <w:abstractNumId w:val="14"/>
  </w:num>
  <w:num w:numId="12">
    <w:abstractNumId w:val="24"/>
  </w:num>
  <w:num w:numId="13">
    <w:abstractNumId w:val="12"/>
  </w:num>
  <w:num w:numId="14">
    <w:abstractNumId w:val="5"/>
  </w:num>
  <w:num w:numId="15">
    <w:abstractNumId w:val="16"/>
  </w:num>
  <w:num w:numId="16">
    <w:abstractNumId w:val="22"/>
  </w:num>
  <w:num w:numId="17">
    <w:abstractNumId w:val="11"/>
  </w:num>
  <w:num w:numId="18">
    <w:abstractNumId w:val="25"/>
  </w:num>
  <w:num w:numId="19">
    <w:abstractNumId w:val="8"/>
  </w:num>
  <w:num w:numId="20">
    <w:abstractNumId w:val="0"/>
  </w:num>
  <w:num w:numId="21">
    <w:abstractNumId w:val="15"/>
  </w:num>
  <w:num w:numId="22">
    <w:abstractNumId w:val="4"/>
  </w:num>
  <w:num w:numId="23">
    <w:abstractNumId w:val="9"/>
  </w:num>
  <w:num w:numId="24">
    <w:abstractNumId w:val="9"/>
  </w:num>
  <w:num w:numId="25">
    <w:abstractNumId w:val="9"/>
  </w:num>
  <w:num w:numId="26">
    <w:abstractNumId w:val="9"/>
  </w:num>
  <w:num w:numId="27">
    <w:abstractNumId w:val="9"/>
  </w:num>
  <w:num w:numId="28">
    <w:abstractNumId w:val="17"/>
  </w:num>
  <w:num w:numId="29">
    <w:abstractNumId w:val="13"/>
  </w:num>
  <w:num w:numId="30">
    <w:abstractNumId w:val="18"/>
  </w:num>
  <w:num w:numId="31">
    <w:abstractNumId w:val="1"/>
  </w:num>
  <w:num w:numId="32">
    <w:abstractNumId w:val="9"/>
  </w:num>
  <w:num w:numId="33">
    <w:abstractNumId w:val="9"/>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8D"/>
    <w:rsid w:val="000020F6"/>
    <w:rsid w:val="00002893"/>
    <w:rsid w:val="000033A3"/>
    <w:rsid w:val="00003605"/>
    <w:rsid w:val="00003C56"/>
    <w:rsid w:val="00003EC2"/>
    <w:rsid w:val="000040A9"/>
    <w:rsid w:val="0000458E"/>
    <w:rsid w:val="00004E70"/>
    <w:rsid w:val="000072B6"/>
    <w:rsid w:val="00007813"/>
    <w:rsid w:val="000109E6"/>
    <w:rsid w:val="00011F67"/>
    <w:rsid w:val="00012135"/>
    <w:rsid w:val="00012862"/>
    <w:rsid w:val="000128E6"/>
    <w:rsid w:val="00013691"/>
    <w:rsid w:val="00015EFB"/>
    <w:rsid w:val="000165E2"/>
    <w:rsid w:val="000172BE"/>
    <w:rsid w:val="00017D8A"/>
    <w:rsid w:val="00022984"/>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4023E"/>
    <w:rsid w:val="0004024B"/>
    <w:rsid w:val="00040DF9"/>
    <w:rsid w:val="00041C57"/>
    <w:rsid w:val="000434B7"/>
    <w:rsid w:val="000435E4"/>
    <w:rsid w:val="00046796"/>
    <w:rsid w:val="000467FD"/>
    <w:rsid w:val="00046AAF"/>
    <w:rsid w:val="00046BF9"/>
    <w:rsid w:val="00047225"/>
    <w:rsid w:val="00047E60"/>
    <w:rsid w:val="00052AD2"/>
    <w:rsid w:val="000530DF"/>
    <w:rsid w:val="0005345E"/>
    <w:rsid w:val="00054E0C"/>
    <w:rsid w:val="0005541D"/>
    <w:rsid w:val="000565C8"/>
    <w:rsid w:val="00056FAE"/>
    <w:rsid w:val="000571E5"/>
    <w:rsid w:val="00057CB0"/>
    <w:rsid w:val="00057DC8"/>
    <w:rsid w:val="000612E1"/>
    <w:rsid w:val="0006133C"/>
    <w:rsid w:val="000614FE"/>
    <w:rsid w:val="00065D38"/>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913"/>
    <w:rsid w:val="00087FA0"/>
    <w:rsid w:val="000902DC"/>
    <w:rsid w:val="000911AE"/>
    <w:rsid w:val="00093697"/>
    <w:rsid w:val="00093D42"/>
    <w:rsid w:val="00093DD0"/>
    <w:rsid w:val="00094A16"/>
    <w:rsid w:val="00094DE6"/>
    <w:rsid w:val="00096356"/>
    <w:rsid w:val="00097C99"/>
    <w:rsid w:val="00097FB7"/>
    <w:rsid w:val="000A0DAA"/>
    <w:rsid w:val="000A0F14"/>
    <w:rsid w:val="000A1441"/>
    <w:rsid w:val="000A1A06"/>
    <w:rsid w:val="000A1B60"/>
    <w:rsid w:val="000A21B4"/>
    <w:rsid w:val="000A2CC7"/>
    <w:rsid w:val="000A2ED6"/>
    <w:rsid w:val="000A4205"/>
    <w:rsid w:val="000A4A19"/>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6C5"/>
    <w:rsid w:val="000B7A10"/>
    <w:rsid w:val="000C115D"/>
    <w:rsid w:val="000C15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325F"/>
    <w:rsid w:val="000E4178"/>
    <w:rsid w:val="000E59A0"/>
    <w:rsid w:val="000E7A3F"/>
    <w:rsid w:val="000E7A84"/>
    <w:rsid w:val="000F15BC"/>
    <w:rsid w:val="000F180A"/>
    <w:rsid w:val="000F1C92"/>
    <w:rsid w:val="000F2EEE"/>
    <w:rsid w:val="000F3697"/>
    <w:rsid w:val="000F3D64"/>
    <w:rsid w:val="000F3F9C"/>
    <w:rsid w:val="000F4B2C"/>
    <w:rsid w:val="000F76B5"/>
    <w:rsid w:val="000F7F58"/>
    <w:rsid w:val="00100128"/>
    <w:rsid w:val="00100FF3"/>
    <w:rsid w:val="00102289"/>
    <w:rsid w:val="001026CA"/>
    <w:rsid w:val="001040F1"/>
    <w:rsid w:val="00104257"/>
    <w:rsid w:val="001043C2"/>
    <w:rsid w:val="001043E1"/>
    <w:rsid w:val="00104980"/>
    <w:rsid w:val="0010505A"/>
    <w:rsid w:val="00105CC7"/>
    <w:rsid w:val="0010677B"/>
    <w:rsid w:val="00107779"/>
    <w:rsid w:val="001078C2"/>
    <w:rsid w:val="00107E1C"/>
    <w:rsid w:val="00110243"/>
    <w:rsid w:val="001106E7"/>
    <w:rsid w:val="001112C4"/>
    <w:rsid w:val="00111444"/>
    <w:rsid w:val="00111723"/>
    <w:rsid w:val="001129B5"/>
    <w:rsid w:val="00112BE6"/>
    <w:rsid w:val="001141E3"/>
    <w:rsid w:val="001144DF"/>
    <w:rsid w:val="00114527"/>
    <w:rsid w:val="0011557B"/>
    <w:rsid w:val="00117C85"/>
    <w:rsid w:val="00120B13"/>
    <w:rsid w:val="00123056"/>
    <w:rsid w:val="00124D84"/>
    <w:rsid w:val="001250DD"/>
    <w:rsid w:val="00125733"/>
    <w:rsid w:val="001263AA"/>
    <w:rsid w:val="00130779"/>
    <w:rsid w:val="001307A1"/>
    <w:rsid w:val="001320F9"/>
    <w:rsid w:val="001321D3"/>
    <w:rsid w:val="00132FA0"/>
    <w:rsid w:val="00133599"/>
    <w:rsid w:val="00133BF7"/>
    <w:rsid w:val="00134B88"/>
    <w:rsid w:val="00136A23"/>
    <w:rsid w:val="00136B99"/>
    <w:rsid w:val="0014063E"/>
    <w:rsid w:val="0014087D"/>
    <w:rsid w:val="00140D03"/>
    <w:rsid w:val="00140F74"/>
    <w:rsid w:val="00141191"/>
    <w:rsid w:val="0014159C"/>
    <w:rsid w:val="00142665"/>
    <w:rsid w:val="0014384A"/>
    <w:rsid w:val="00143A04"/>
    <w:rsid w:val="0014450F"/>
    <w:rsid w:val="00144D8F"/>
    <w:rsid w:val="00145C74"/>
    <w:rsid w:val="001462E9"/>
    <w:rsid w:val="00146E32"/>
    <w:rsid w:val="00147DF7"/>
    <w:rsid w:val="00151619"/>
    <w:rsid w:val="00151781"/>
    <w:rsid w:val="00152835"/>
    <w:rsid w:val="001559FA"/>
    <w:rsid w:val="00156374"/>
    <w:rsid w:val="0015642F"/>
    <w:rsid w:val="001577B4"/>
    <w:rsid w:val="001577D8"/>
    <w:rsid w:val="00157FC3"/>
    <w:rsid w:val="00160739"/>
    <w:rsid w:val="001612E0"/>
    <w:rsid w:val="0016271E"/>
    <w:rsid w:val="00162D7A"/>
    <w:rsid w:val="001647D9"/>
    <w:rsid w:val="00164DAB"/>
    <w:rsid w:val="00165035"/>
    <w:rsid w:val="00165444"/>
    <w:rsid w:val="001654D1"/>
    <w:rsid w:val="00165BBB"/>
    <w:rsid w:val="0016613F"/>
    <w:rsid w:val="00166215"/>
    <w:rsid w:val="00166591"/>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7252"/>
    <w:rsid w:val="00187E06"/>
    <w:rsid w:val="001906F6"/>
    <w:rsid w:val="00191C91"/>
    <w:rsid w:val="00192DD9"/>
    <w:rsid w:val="00194339"/>
    <w:rsid w:val="00194848"/>
    <w:rsid w:val="001948E1"/>
    <w:rsid w:val="001958EA"/>
    <w:rsid w:val="00195E0E"/>
    <w:rsid w:val="001A180D"/>
    <w:rsid w:val="001A1BAC"/>
    <w:rsid w:val="001A23CE"/>
    <w:rsid w:val="001A2C89"/>
    <w:rsid w:val="001A673E"/>
    <w:rsid w:val="001A7763"/>
    <w:rsid w:val="001B1D31"/>
    <w:rsid w:val="001B3964"/>
    <w:rsid w:val="001B4452"/>
    <w:rsid w:val="001B466C"/>
    <w:rsid w:val="001B4F34"/>
    <w:rsid w:val="001B52EC"/>
    <w:rsid w:val="001B554A"/>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73"/>
    <w:rsid w:val="001E7C77"/>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3E"/>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401F5"/>
    <w:rsid w:val="00240E54"/>
    <w:rsid w:val="00240ECE"/>
    <w:rsid w:val="00245079"/>
    <w:rsid w:val="002451C5"/>
    <w:rsid w:val="00245F1F"/>
    <w:rsid w:val="0024663B"/>
    <w:rsid w:val="00247103"/>
    <w:rsid w:val="00250067"/>
    <w:rsid w:val="002516DE"/>
    <w:rsid w:val="00251F81"/>
    <w:rsid w:val="00252805"/>
    <w:rsid w:val="00252BE0"/>
    <w:rsid w:val="00253588"/>
    <w:rsid w:val="002546F4"/>
    <w:rsid w:val="002551D0"/>
    <w:rsid w:val="00255374"/>
    <w:rsid w:val="00257BF4"/>
    <w:rsid w:val="00260003"/>
    <w:rsid w:val="002601CC"/>
    <w:rsid w:val="0026035D"/>
    <w:rsid w:val="00260454"/>
    <w:rsid w:val="002606D6"/>
    <w:rsid w:val="00261C98"/>
    <w:rsid w:val="0026248E"/>
    <w:rsid w:val="00262914"/>
    <w:rsid w:val="002647BF"/>
    <w:rsid w:val="002647D5"/>
    <w:rsid w:val="00265032"/>
    <w:rsid w:val="002651FB"/>
    <w:rsid w:val="0026538C"/>
    <w:rsid w:val="00265781"/>
    <w:rsid w:val="00266B13"/>
    <w:rsid w:val="00267E5E"/>
    <w:rsid w:val="00270728"/>
    <w:rsid w:val="00270D42"/>
    <w:rsid w:val="002712A2"/>
    <w:rsid w:val="0027195D"/>
    <w:rsid w:val="00272466"/>
    <w:rsid w:val="00272B03"/>
    <w:rsid w:val="002733E2"/>
    <w:rsid w:val="002750B1"/>
    <w:rsid w:val="002754D1"/>
    <w:rsid w:val="00276A35"/>
    <w:rsid w:val="00276AA1"/>
    <w:rsid w:val="00277835"/>
    <w:rsid w:val="00280AB1"/>
    <w:rsid w:val="002822F1"/>
    <w:rsid w:val="00283538"/>
    <w:rsid w:val="00284BAE"/>
    <w:rsid w:val="002859AF"/>
    <w:rsid w:val="00286AE7"/>
    <w:rsid w:val="00287243"/>
    <w:rsid w:val="00290647"/>
    <w:rsid w:val="00291385"/>
    <w:rsid w:val="00291422"/>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BDC"/>
    <w:rsid w:val="002B75B0"/>
    <w:rsid w:val="002B7EAF"/>
    <w:rsid w:val="002C099C"/>
    <w:rsid w:val="002C0B74"/>
    <w:rsid w:val="002C0C8B"/>
    <w:rsid w:val="002C0CBB"/>
    <w:rsid w:val="002C1040"/>
    <w:rsid w:val="002C1201"/>
    <w:rsid w:val="002C1460"/>
    <w:rsid w:val="002C20F2"/>
    <w:rsid w:val="002C38B2"/>
    <w:rsid w:val="002C3F9C"/>
    <w:rsid w:val="002C4B48"/>
    <w:rsid w:val="002C4D54"/>
    <w:rsid w:val="002C5AFA"/>
    <w:rsid w:val="002D0439"/>
    <w:rsid w:val="002D11B7"/>
    <w:rsid w:val="002D3BBC"/>
    <w:rsid w:val="002D438A"/>
    <w:rsid w:val="002D4518"/>
    <w:rsid w:val="002D4BBE"/>
    <w:rsid w:val="002D5738"/>
    <w:rsid w:val="002D5E53"/>
    <w:rsid w:val="002E0319"/>
    <w:rsid w:val="002E179B"/>
    <w:rsid w:val="002E1C9E"/>
    <w:rsid w:val="002E257B"/>
    <w:rsid w:val="002E3C65"/>
    <w:rsid w:val="002E3F5B"/>
    <w:rsid w:val="002E4362"/>
    <w:rsid w:val="002E63D9"/>
    <w:rsid w:val="002E640E"/>
    <w:rsid w:val="002F0C28"/>
    <w:rsid w:val="002F18A3"/>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5FF9"/>
    <w:rsid w:val="00306E6B"/>
    <w:rsid w:val="00306F54"/>
    <w:rsid w:val="003100C8"/>
    <w:rsid w:val="00311161"/>
    <w:rsid w:val="00312400"/>
    <w:rsid w:val="00312739"/>
    <w:rsid w:val="00312D10"/>
    <w:rsid w:val="003178DA"/>
    <w:rsid w:val="00317DB8"/>
    <w:rsid w:val="00320618"/>
    <w:rsid w:val="0032100B"/>
    <w:rsid w:val="00321BD7"/>
    <w:rsid w:val="0032260F"/>
    <w:rsid w:val="003228DA"/>
    <w:rsid w:val="00323D6B"/>
    <w:rsid w:val="00325E7B"/>
    <w:rsid w:val="00325EDD"/>
    <w:rsid w:val="00326957"/>
    <w:rsid w:val="00326AE2"/>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F7F"/>
    <w:rsid w:val="00350108"/>
    <w:rsid w:val="00350762"/>
    <w:rsid w:val="003507C4"/>
    <w:rsid w:val="003519A1"/>
    <w:rsid w:val="00352480"/>
    <w:rsid w:val="003525F9"/>
    <w:rsid w:val="003530D2"/>
    <w:rsid w:val="0035331A"/>
    <w:rsid w:val="003534E1"/>
    <w:rsid w:val="003548D8"/>
    <w:rsid w:val="003554CA"/>
    <w:rsid w:val="00360232"/>
    <w:rsid w:val="003602E0"/>
    <w:rsid w:val="00360CA4"/>
    <w:rsid w:val="00360D01"/>
    <w:rsid w:val="00362569"/>
    <w:rsid w:val="003636CD"/>
    <w:rsid w:val="0036487C"/>
    <w:rsid w:val="0036490D"/>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285E"/>
    <w:rsid w:val="00382A43"/>
    <w:rsid w:val="00382D60"/>
    <w:rsid w:val="00382F29"/>
    <w:rsid w:val="00383C8D"/>
    <w:rsid w:val="003852FB"/>
    <w:rsid w:val="00385429"/>
    <w:rsid w:val="00385B05"/>
    <w:rsid w:val="00386382"/>
    <w:rsid w:val="003865EF"/>
    <w:rsid w:val="00386BA9"/>
    <w:rsid w:val="00390017"/>
    <w:rsid w:val="003901A3"/>
    <w:rsid w:val="0039072F"/>
    <w:rsid w:val="00391675"/>
    <w:rsid w:val="003940CE"/>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8FD"/>
    <w:rsid w:val="003A7834"/>
    <w:rsid w:val="003B0B5B"/>
    <w:rsid w:val="003B0E79"/>
    <w:rsid w:val="003B11DF"/>
    <w:rsid w:val="003B17AF"/>
    <w:rsid w:val="003B19A2"/>
    <w:rsid w:val="003B3575"/>
    <w:rsid w:val="003B3D50"/>
    <w:rsid w:val="003B4DD4"/>
    <w:rsid w:val="003B4EEC"/>
    <w:rsid w:val="003B4FE4"/>
    <w:rsid w:val="003B50BC"/>
    <w:rsid w:val="003B5D97"/>
    <w:rsid w:val="003B63A4"/>
    <w:rsid w:val="003B68FE"/>
    <w:rsid w:val="003B6995"/>
    <w:rsid w:val="003B6D7D"/>
    <w:rsid w:val="003B7405"/>
    <w:rsid w:val="003B7D7E"/>
    <w:rsid w:val="003C1012"/>
    <w:rsid w:val="003C11C9"/>
    <w:rsid w:val="003C1229"/>
    <w:rsid w:val="003C1FD4"/>
    <w:rsid w:val="003C213D"/>
    <w:rsid w:val="003C25AD"/>
    <w:rsid w:val="003C2D21"/>
    <w:rsid w:val="003C5785"/>
    <w:rsid w:val="003C5E6B"/>
    <w:rsid w:val="003C7AD7"/>
    <w:rsid w:val="003D0FC3"/>
    <w:rsid w:val="003D2420"/>
    <w:rsid w:val="003D2C1D"/>
    <w:rsid w:val="003D2C34"/>
    <w:rsid w:val="003D3DDD"/>
    <w:rsid w:val="003D5CBF"/>
    <w:rsid w:val="003D66D2"/>
    <w:rsid w:val="003E07AE"/>
    <w:rsid w:val="003E14FC"/>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341"/>
    <w:rsid w:val="00422944"/>
    <w:rsid w:val="00423641"/>
    <w:rsid w:val="00426266"/>
    <w:rsid w:val="00426949"/>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FE2"/>
    <w:rsid w:val="00436E2F"/>
    <w:rsid w:val="00436EAB"/>
    <w:rsid w:val="00440CE6"/>
    <w:rsid w:val="004410B9"/>
    <w:rsid w:val="00443A39"/>
    <w:rsid w:val="004461D9"/>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60897"/>
    <w:rsid w:val="00460CC3"/>
    <w:rsid w:val="00460E86"/>
    <w:rsid w:val="004646B4"/>
    <w:rsid w:val="00464A88"/>
    <w:rsid w:val="004651A0"/>
    <w:rsid w:val="00466532"/>
    <w:rsid w:val="00467488"/>
    <w:rsid w:val="004679BD"/>
    <w:rsid w:val="0047083E"/>
    <w:rsid w:val="00470EB5"/>
    <w:rsid w:val="0047286B"/>
    <w:rsid w:val="00472E27"/>
    <w:rsid w:val="00474220"/>
    <w:rsid w:val="004752D3"/>
    <w:rsid w:val="004754E1"/>
    <w:rsid w:val="00475CE0"/>
    <w:rsid w:val="00476827"/>
    <w:rsid w:val="00476BD4"/>
    <w:rsid w:val="00476FE4"/>
    <w:rsid w:val="00477C35"/>
    <w:rsid w:val="00480988"/>
    <w:rsid w:val="00480E05"/>
    <w:rsid w:val="004824A7"/>
    <w:rsid w:val="0048275F"/>
    <w:rsid w:val="00482BBE"/>
    <w:rsid w:val="00483A12"/>
    <w:rsid w:val="004844D0"/>
    <w:rsid w:val="00484A77"/>
    <w:rsid w:val="00484B41"/>
    <w:rsid w:val="0048540F"/>
    <w:rsid w:val="00485970"/>
    <w:rsid w:val="00485C0D"/>
    <w:rsid w:val="00486575"/>
    <w:rsid w:val="004866D0"/>
    <w:rsid w:val="00486936"/>
    <w:rsid w:val="00487210"/>
    <w:rsid w:val="0048758E"/>
    <w:rsid w:val="004918DC"/>
    <w:rsid w:val="00494242"/>
    <w:rsid w:val="00494E8E"/>
    <w:rsid w:val="004955BC"/>
    <w:rsid w:val="00495D63"/>
    <w:rsid w:val="0049648F"/>
    <w:rsid w:val="00496606"/>
    <w:rsid w:val="00496F05"/>
    <w:rsid w:val="00497370"/>
    <w:rsid w:val="00497F6F"/>
    <w:rsid w:val="004A0F39"/>
    <w:rsid w:val="004A251F"/>
    <w:rsid w:val="004A3BF1"/>
    <w:rsid w:val="004A3E42"/>
    <w:rsid w:val="004A4715"/>
    <w:rsid w:val="004A5046"/>
    <w:rsid w:val="004A565E"/>
    <w:rsid w:val="004A5DF3"/>
    <w:rsid w:val="004A6134"/>
    <w:rsid w:val="004A7092"/>
    <w:rsid w:val="004B1740"/>
    <w:rsid w:val="004B4193"/>
    <w:rsid w:val="004B49E6"/>
    <w:rsid w:val="004B4D69"/>
    <w:rsid w:val="004B66B1"/>
    <w:rsid w:val="004C01A8"/>
    <w:rsid w:val="004C05A1"/>
    <w:rsid w:val="004C05B2"/>
    <w:rsid w:val="004C06DA"/>
    <w:rsid w:val="004C1840"/>
    <w:rsid w:val="004C24C9"/>
    <w:rsid w:val="004C31B6"/>
    <w:rsid w:val="004C35EF"/>
    <w:rsid w:val="004C5319"/>
    <w:rsid w:val="004C621F"/>
    <w:rsid w:val="004C7948"/>
    <w:rsid w:val="004C7BB8"/>
    <w:rsid w:val="004C7C60"/>
    <w:rsid w:val="004D0DFE"/>
    <w:rsid w:val="004D1D91"/>
    <w:rsid w:val="004D22C3"/>
    <w:rsid w:val="004D31D9"/>
    <w:rsid w:val="004D345B"/>
    <w:rsid w:val="004D49CB"/>
    <w:rsid w:val="004D6F4D"/>
    <w:rsid w:val="004D6F95"/>
    <w:rsid w:val="004D72FE"/>
    <w:rsid w:val="004D7E91"/>
    <w:rsid w:val="004E003A"/>
    <w:rsid w:val="004E034D"/>
    <w:rsid w:val="004E06ED"/>
    <w:rsid w:val="004E0768"/>
    <w:rsid w:val="004E1A31"/>
    <w:rsid w:val="004E2DE0"/>
    <w:rsid w:val="004E3A50"/>
    <w:rsid w:val="004E4060"/>
    <w:rsid w:val="004E409A"/>
    <w:rsid w:val="004E4642"/>
    <w:rsid w:val="004E5FED"/>
    <w:rsid w:val="004E7751"/>
    <w:rsid w:val="004F0FB9"/>
    <w:rsid w:val="004F1481"/>
    <w:rsid w:val="004F1EA0"/>
    <w:rsid w:val="004F2F7E"/>
    <w:rsid w:val="004F32B5"/>
    <w:rsid w:val="004F3F56"/>
    <w:rsid w:val="004F407E"/>
    <w:rsid w:val="004F5479"/>
    <w:rsid w:val="004F5655"/>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55BF"/>
    <w:rsid w:val="005257DE"/>
    <w:rsid w:val="00525AA0"/>
    <w:rsid w:val="00527200"/>
    <w:rsid w:val="005272B0"/>
    <w:rsid w:val="00530157"/>
    <w:rsid w:val="00531EBE"/>
    <w:rsid w:val="00532C6A"/>
    <w:rsid w:val="00532F8B"/>
    <w:rsid w:val="00533737"/>
    <w:rsid w:val="00535B79"/>
    <w:rsid w:val="00535D7C"/>
    <w:rsid w:val="00536579"/>
    <w:rsid w:val="00536957"/>
    <w:rsid w:val="00536C1E"/>
    <w:rsid w:val="005402AE"/>
    <w:rsid w:val="00541337"/>
    <w:rsid w:val="00542355"/>
    <w:rsid w:val="0054343A"/>
    <w:rsid w:val="00543974"/>
    <w:rsid w:val="00543EBF"/>
    <w:rsid w:val="00544ABA"/>
    <w:rsid w:val="0054593A"/>
    <w:rsid w:val="0054658C"/>
    <w:rsid w:val="005467FB"/>
    <w:rsid w:val="00546AE9"/>
    <w:rsid w:val="00546D9F"/>
    <w:rsid w:val="00547989"/>
    <w:rsid w:val="00551320"/>
    <w:rsid w:val="0055151E"/>
    <w:rsid w:val="005518A4"/>
    <w:rsid w:val="00552768"/>
    <w:rsid w:val="00552935"/>
    <w:rsid w:val="00553127"/>
    <w:rsid w:val="005537D5"/>
    <w:rsid w:val="00554BE7"/>
    <w:rsid w:val="00556D68"/>
    <w:rsid w:val="00556DD2"/>
    <w:rsid w:val="00557173"/>
    <w:rsid w:val="005576A1"/>
    <w:rsid w:val="00557A64"/>
    <w:rsid w:val="00557F02"/>
    <w:rsid w:val="005605C0"/>
    <w:rsid w:val="00560D23"/>
    <w:rsid w:val="005615D8"/>
    <w:rsid w:val="005626D6"/>
    <w:rsid w:val="005634AE"/>
    <w:rsid w:val="005638D4"/>
    <w:rsid w:val="005656ED"/>
    <w:rsid w:val="00566544"/>
    <w:rsid w:val="00566608"/>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71A1"/>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0E9E"/>
    <w:rsid w:val="00591C7D"/>
    <w:rsid w:val="00592B03"/>
    <w:rsid w:val="00593AB9"/>
    <w:rsid w:val="005947C1"/>
    <w:rsid w:val="00594ABB"/>
    <w:rsid w:val="00594D1C"/>
    <w:rsid w:val="00594E36"/>
    <w:rsid w:val="00594F0A"/>
    <w:rsid w:val="0059525E"/>
    <w:rsid w:val="00595887"/>
    <w:rsid w:val="005961F7"/>
    <w:rsid w:val="00596B9C"/>
    <w:rsid w:val="005A054D"/>
    <w:rsid w:val="005A0A46"/>
    <w:rsid w:val="005A10B9"/>
    <w:rsid w:val="005A11EA"/>
    <w:rsid w:val="005A236E"/>
    <w:rsid w:val="005A269F"/>
    <w:rsid w:val="005A305E"/>
    <w:rsid w:val="005A30BB"/>
    <w:rsid w:val="005A3887"/>
    <w:rsid w:val="005A5CB3"/>
    <w:rsid w:val="005A6660"/>
    <w:rsid w:val="005A74D3"/>
    <w:rsid w:val="005A7F71"/>
    <w:rsid w:val="005B0542"/>
    <w:rsid w:val="005B2225"/>
    <w:rsid w:val="005B2799"/>
    <w:rsid w:val="005B2B77"/>
    <w:rsid w:val="005B3D4A"/>
    <w:rsid w:val="005B4D87"/>
    <w:rsid w:val="005B7DD1"/>
    <w:rsid w:val="005C00A0"/>
    <w:rsid w:val="005C2560"/>
    <w:rsid w:val="005C28FA"/>
    <w:rsid w:val="005C2E55"/>
    <w:rsid w:val="005C40F4"/>
    <w:rsid w:val="005C43BE"/>
    <w:rsid w:val="005C44F3"/>
    <w:rsid w:val="005C712D"/>
    <w:rsid w:val="005C78AC"/>
    <w:rsid w:val="005C7C75"/>
    <w:rsid w:val="005D0172"/>
    <w:rsid w:val="005D0E4F"/>
    <w:rsid w:val="005D1E32"/>
    <w:rsid w:val="005D206B"/>
    <w:rsid w:val="005D22B7"/>
    <w:rsid w:val="005D2BDE"/>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BFC"/>
    <w:rsid w:val="005E53F9"/>
    <w:rsid w:val="005E775D"/>
    <w:rsid w:val="005F0A43"/>
    <w:rsid w:val="005F16E0"/>
    <w:rsid w:val="005F27BF"/>
    <w:rsid w:val="005F4171"/>
    <w:rsid w:val="005F46D6"/>
    <w:rsid w:val="005F4DD6"/>
    <w:rsid w:val="005F50D8"/>
    <w:rsid w:val="005F53A1"/>
    <w:rsid w:val="005F6B77"/>
    <w:rsid w:val="005F7487"/>
    <w:rsid w:val="005F7A87"/>
    <w:rsid w:val="00600027"/>
    <w:rsid w:val="006002C7"/>
    <w:rsid w:val="00600F95"/>
    <w:rsid w:val="00601839"/>
    <w:rsid w:val="00601ECE"/>
    <w:rsid w:val="00602759"/>
    <w:rsid w:val="0060277A"/>
    <w:rsid w:val="00602B7C"/>
    <w:rsid w:val="00603312"/>
    <w:rsid w:val="00604DC7"/>
    <w:rsid w:val="00604E47"/>
    <w:rsid w:val="00605441"/>
    <w:rsid w:val="00606970"/>
    <w:rsid w:val="00606A20"/>
    <w:rsid w:val="006072C6"/>
    <w:rsid w:val="00607A2E"/>
    <w:rsid w:val="006106EE"/>
    <w:rsid w:val="006120B3"/>
    <w:rsid w:val="0061297C"/>
    <w:rsid w:val="006130F7"/>
    <w:rsid w:val="00613AF8"/>
    <w:rsid w:val="00613D8E"/>
    <w:rsid w:val="006142E0"/>
    <w:rsid w:val="00616112"/>
    <w:rsid w:val="006205CA"/>
    <w:rsid w:val="00621BA5"/>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80D"/>
    <w:rsid w:val="00635CAE"/>
    <w:rsid w:val="00637240"/>
    <w:rsid w:val="00640FD1"/>
    <w:rsid w:val="006415C6"/>
    <w:rsid w:val="00641B15"/>
    <w:rsid w:val="00643660"/>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D87"/>
    <w:rsid w:val="0068545E"/>
    <w:rsid w:val="00685FD4"/>
    <w:rsid w:val="00686612"/>
    <w:rsid w:val="0068661E"/>
    <w:rsid w:val="00690A49"/>
    <w:rsid w:val="00690BB6"/>
    <w:rsid w:val="00691B30"/>
    <w:rsid w:val="00691E41"/>
    <w:rsid w:val="00693867"/>
    <w:rsid w:val="00693E1F"/>
    <w:rsid w:val="00693ECB"/>
    <w:rsid w:val="006941AC"/>
    <w:rsid w:val="00694797"/>
    <w:rsid w:val="00695887"/>
    <w:rsid w:val="00697733"/>
    <w:rsid w:val="006A0F5B"/>
    <w:rsid w:val="006A2181"/>
    <w:rsid w:val="006A254E"/>
    <w:rsid w:val="006A2C30"/>
    <w:rsid w:val="006A301C"/>
    <w:rsid w:val="006A3E2B"/>
    <w:rsid w:val="006A697A"/>
    <w:rsid w:val="006A6E17"/>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2BB5"/>
    <w:rsid w:val="006C2BEE"/>
    <w:rsid w:val="006C3AD8"/>
    <w:rsid w:val="006C4516"/>
    <w:rsid w:val="006C4547"/>
    <w:rsid w:val="006C455E"/>
    <w:rsid w:val="006C5958"/>
    <w:rsid w:val="006C5B4F"/>
    <w:rsid w:val="006C643C"/>
    <w:rsid w:val="006C69AA"/>
    <w:rsid w:val="006C6E3A"/>
    <w:rsid w:val="006C6FD7"/>
    <w:rsid w:val="006D00DB"/>
    <w:rsid w:val="006D0361"/>
    <w:rsid w:val="006D0AD6"/>
    <w:rsid w:val="006D16B0"/>
    <w:rsid w:val="006D1D79"/>
    <w:rsid w:val="006D2182"/>
    <w:rsid w:val="006D2444"/>
    <w:rsid w:val="006D254B"/>
    <w:rsid w:val="006D289B"/>
    <w:rsid w:val="006D2AED"/>
    <w:rsid w:val="006D3BE1"/>
    <w:rsid w:val="006D48FC"/>
    <w:rsid w:val="006D61B2"/>
    <w:rsid w:val="006D62BC"/>
    <w:rsid w:val="006D636D"/>
    <w:rsid w:val="006D6450"/>
    <w:rsid w:val="006D6939"/>
    <w:rsid w:val="006D7A03"/>
    <w:rsid w:val="006D7EB0"/>
    <w:rsid w:val="006E0138"/>
    <w:rsid w:val="006E0BB0"/>
    <w:rsid w:val="006E11BF"/>
    <w:rsid w:val="006E12C3"/>
    <w:rsid w:val="006E2529"/>
    <w:rsid w:val="006E39EC"/>
    <w:rsid w:val="006E45F3"/>
    <w:rsid w:val="006E4A2F"/>
    <w:rsid w:val="006E4ED4"/>
    <w:rsid w:val="006E5B3E"/>
    <w:rsid w:val="006E5DA9"/>
    <w:rsid w:val="006E5E19"/>
    <w:rsid w:val="006E61C3"/>
    <w:rsid w:val="006E799D"/>
    <w:rsid w:val="006F0593"/>
    <w:rsid w:val="006F1064"/>
    <w:rsid w:val="006F1EB7"/>
    <w:rsid w:val="006F26D6"/>
    <w:rsid w:val="006F3A0F"/>
    <w:rsid w:val="006F52E5"/>
    <w:rsid w:val="006F6066"/>
    <w:rsid w:val="006F6850"/>
    <w:rsid w:val="006F707E"/>
    <w:rsid w:val="006F79DA"/>
    <w:rsid w:val="006F7DE5"/>
    <w:rsid w:val="007001DC"/>
    <w:rsid w:val="007025CB"/>
    <w:rsid w:val="00702753"/>
    <w:rsid w:val="0070321B"/>
    <w:rsid w:val="007034AA"/>
    <w:rsid w:val="00703C9D"/>
    <w:rsid w:val="0070490C"/>
    <w:rsid w:val="00705C38"/>
    <w:rsid w:val="00706465"/>
    <w:rsid w:val="0070695A"/>
    <w:rsid w:val="0070782D"/>
    <w:rsid w:val="00707915"/>
    <w:rsid w:val="007109C2"/>
    <w:rsid w:val="00711340"/>
    <w:rsid w:val="007125AA"/>
    <w:rsid w:val="00712C42"/>
    <w:rsid w:val="00713DE4"/>
    <w:rsid w:val="00714C47"/>
    <w:rsid w:val="00715C5B"/>
    <w:rsid w:val="00716462"/>
    <w:rsid w:val="007178A7"/>
    <w:rsid w:val="00721084"/>
    <w:rsid w:val="00721262"/>
    <w:rsid w:val="00721D9B"/>
    <w:rsid w:val="00721EB3"/>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638D"/>
    <w:rsid w:val="00746484"/>
    <w:rsid w:val="0074704F"/>
    <w:rsid w:val="00747A35"/>
    <w:rsid w:val="00747F48"/>
    <w:rsid w:val="00747F4C"/>
    <w:rsid w:val="00751091"/>
    <w:rsid w:val="00751B83"/>
    <w:rsid w:val="0075232F"/>
    <w:rsid w:val="00752569"/>
    <w:rsid w:val="00753657"/>
    <w:rsid w:val="00754359"/>
    <w:rsid w:val="00754411"/>
    <w:rsid w:val="00754BD9"/>
    <w:rsid w:val="00754E7A"/>
    <w:rsid w:val="0075540C"/>
    <w:rsid w:val="00755DB1"/>
    <w:rsid w:val="00755E08"/>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F8A"/>
    <w:rsid w:val="007739C6"/>
    <w:rsid w:val="00774889"/>
    <w:rsid w:val="00774FF5"/>
    <w:rsid w:val="007750B3"/>
    <w:rsid w:val="0077565C"/>
    <w:rsid w:val="00775F76"/>
    <w:rsid w:val="00776AEA"/>
    <w:rsid w:val="00777136"/>
    <w:rsid w:val="00777BA0"/>
    <w:rsid w:val="007803BD"/>
    <w:rsid w:val="007811DC"/>
    <w:rsid w:val="007820FA"/>
    <w:rsid w:val="0078285F"/>
    <w:rsid w:val="00783207"/>
    <w:rsid w:val="00783E1D"/>
    <w:rsid w:val="0078483B"/>
    <w:rsid w:val="00784EED"/>
    <w:rsid w:val="00785900"/>
    <w:rsid w:val="00786958"/>
    <w:rsid w:val="00786E71"/>
    <w:rsid w:val="0079062E"/>
    <w:rsid w:val="0079162F"/>
    <w:rsid w:val="00791B99"/>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7A96"/>
    <w:rsid w:val="007B03AF"/>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19AD"/>
    <w:rsid w:val="007C3598"/>
    <w:rsid w:val="007C3FA8"/>
    <w:rsid w:val="007C68DA"/>
    <w:rsid w:val="007D1344"/>
    <w:rsid w:val="007D229A"/>
    <w:rsid w:val="007D2F44"/>
    <w:rsid w:val="007D2F4D"/>
    <w:rsid w:val="007D4178"/>
    <w:rsid w:val="007D4D33"/>
    <w:rsid w:val="007D6007"/>
    <w:rsid w:val="007D7175"/>
    <w:rsid w:val="007E11A5"/>
    <w:rsid w:val="007E1369"/>
    <w:rsid w:val="007E1A1B"/>
    <w:rsid w:val="007E1A88"/>
    <w:rsid w:val="007E1DB0"/>
    <w:rsid w:val="007E28BF"/>
    <w:rsid w:val="007E2CAB"/>
    <w:rsid w:val="007E4C88"/>
    <w:rsid w:val="007E4C8A"/>
    <w:rsid w:val="007E585E"/>
    <w:rsid w:val="007E7DDF"/>
    <w:rsid w:val="007F0AF5"/>
    <w:rsid w:val="007F11C8"/>
    <w:rsid w:val="007F1879"/>
    <w:rsid w:val="007F1CFB"/>
    <w:rsid w:val="007F1D3E"/>
    <w:rsid w:val="007F220B"/>
    <w:rsid w:val="007F27DD"/>
    <w:rsid w:val="007F283C"/>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2E1B"/>
    <w:rsid w:val="0081581D"/>
    <w:rsid w:val="008172BE"/>
    <w:rsid w:val="00817B71"/>
    <w:rsid w:val="00820244"/>
    <w:rsid w:val="008212D0"/>
    <w:rsid w:val="008221B3"/>
    <w:rsid w:val="0082248E"/>
    <w:rsid w:val="00823F62"/>
    <w:rsid w:val="00824FDF"/>
    <w:rsid w:val="00825125"/>
    <w:rsid w:val="008257CC"/>
    <w:rsid w:val="008274BF"/>
    <w:rsid w:val="00830DC3"/>
    <w:rsid w:val="00831555"/>
    <w:rsid w:val="00831F52"/>
    <w:rsid w:val="00832154"/>
    <w:rsid w:val="00832F5C"/>
    <w:rsid w:val="008359E0"/>
    <w:rsid w:val="0083763D"/>
    <w:rsid w:val="008376F6"/>
    <w:rsid w:val="00837D5B"/>
    <w:rsid w:val="00840607"/>
    <w:rsid w:val="00841CD2"/>
    <w:rsid w:val="0084266C"/>
    <w:rsid w:val="008426A9"/>
    <w:rsid w:val="00842725"/>
    <w:rsid w:val="00842B77"/>
    <w:rsid w:val="0084309F"/>
    <w:rsid w:val="00845C12"/>
    <w:rsid w:val="008469D9"/>
    <w:rsid w:val="00846DC0"/>
    <w:rsid w:val="008474A7"/>
    <w:rsid w:val="00847716"/>
    <w:rsid w:val="008506B6"/>
    <w:rsid w:val="0085081B"/>
    <w:rsid w:val="00850AE0"/>
    <w:rsid w:val="008524D2"/>
    <w:rsid w:val="00852DAB"/>
    <w:rsid w:val="00852E19"/>
    <w:rsid w:val="00856833"/>
    <w:rsid w:val="00856840"/>
    <w:rsid w:val="0086087C"/>
    <w:rsid w:val="00860D8E"/>
    <w:rsid w:val="0086275E"/>
    <w:rsid w:val="00864440"/>
    <w:rsid w:val="00864D76"/>
    <w:rsid w:val="008650FC"/>
    <w:rsid w:val="00866CEC"/>
    <w:rsid w:val="00866EB3"/>
    <w:rsid w:val="0086701A"/>
    <w:rsid w:val="00867BD2"/>
    <w:rsid w:val="008712FD"/>
    <w:rsid w:val="008716A1"/>
    <w:rsid w:val="00872D3F"/>
    <w:rsid w:val="008733E4"/>
    <w:rsid w:val="008734C6"/>
    <w:rsid w:val="00873F15"/>
    <w:rsid w:val="00874096"/>
    <w:rsid w:val="0087493D"/>
    <w:rsid w:val="008756A4"/>
    <w:rsid w:val="00875F73"/>
    <w:rsid w:val="00876BD7"/>
    <w:rsid w:val="00876BE7"/>
    <w:rsid w:val="00880F30"/>
    <w:rsid w:val="008817F2"/>
    <w:rsid w:val="008833E8"/>
    <w:rsid w:val="008837F7"/>
    <w:rsid w:val="0088780B"/>
    <w:rsid w:val="00887B48"/>
    <w:rsid w:val="0089044A"/>
    <w:rsid w:val="00890659"/>
    <w:rsid w:val="0089176E"/>
    <w:rsid w:val="008917E0"/>
    <w:rsid w:val="008918A3"/>
    <w:rsid w:val="00892365"/>
    <w:rsid w:val="00892BE5"/>
    <w:rsid w:val="0089387C"/>
    <w:rsid w:val="00893DB0"/>
    <w:rsid w:val="0089444E"/>
    <w:rsid w:val="008949DF"/>
    <w:rsid w:val="00894F1E"/>
    <w:rsid w:val="008951DB"/>
    <w:rsid w:val="00896C81"/>
    <w:rsid w:val="00896D83"/>
    <w:rsid w:val="008A0AB2"/>
    <w:rsid w:val="008A0CFC"/>
    <w:rsid w:val="008A12FE"/>
    <w:rsid w:val="008A28B6"/>
    <w:rsid w:val="008A2BB1"/>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B08"/>
    <w:rsid w:val="008B7C92"/>
    <w:rsid w:val="008C0694"/>
    <w:rsid w:val="008C09E8"/>
    <w:rsid w:val="008C13F0"/>
    <w:rsid w:val="008C1F26"/>
    <w:rsid w:val="008C2A3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2251"/>
    <w:rsid w:val="008E24B3"/>
    <w:rsid w:val="008E24CA"/>
    <w:rsid w:val="008E2F6E"/>
    <w:rsid w:val="008E38AD"/>
    <w:rsid w:val="008E39FA"/>
    <w:rsid w:val="008E3EEC"/>
    <w:rsid w:val="008E4F6E"/>
    <w:rsid w:val="008E5BF2"/>
    <w:rsid w:val="008E5C81"/>
    <w:rsid w:val="008E6405"/>
    <w:rsid w:val="008E7859"/>
    <w:rsid w:val="008F0275"/>
    <w:rsid w:val="008F0A38"/>
    <w:rsid w:val="008F0F84"/>
    <w:rsid w:val="008F1014"/>
    <w:rsid w:val="008F11C9"/>
    <w:rsid w:val="008F23D8"/>
    <w:rsid w:val="008F2FD5"/>
    <w:rsid w:val="008F37E5"/>
    <w:rsid w:val="008F48C2"/>
    <w:rsid w:val="008F5840"/>
    <w:rsid w:val="008F5DF2"/>
    <w:rsid w:val="008F5EEF"/>
    <w:rsid w:val="008F66FE"/>
    <w:rsid w:val="008F72CC"/>
    <w:rsid w:val="008F72CD"/>
    <w:rsid w:val="00902404"/>
    <w:rsid w:val="00902A5D"/>
    <w:rsid w:val="00902C9F"/>
    <w:rsid w:val="00903802"/>
    <w:rsid w:val="00903EA0"/>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757"/>
    <w:rsid w:val="009159B3"/>
    <w:rsid w:val="00916181"/>
    <w:rsid w:val="009204C5"/>
    <w:rsid w:val="00921244"/>
    <w:rsid w:val="0092180D"/>
    <w:rsid w:val="00922ECC"/>
    <w:rsid w:val="009232C9"/>
    <w:rsid w:val="00923608"/>
    <w:rsid w:val="009238E5"/>
    <w:rsid w:val="00923F12"/>
    <w:rsid w:val="00924FF8"/>
    <w:rsid w:val="00925BA8"/>
    <w:rsid w:val="00926DA7"/>
    <w:rsid w:val="00927F8B"/>
    <w:rsid w:val="0093094D"/>
    <w:rsid w:val="00931AF7"/>
    <w:rsid w:val="009328C7"/>
    <w:rsid w:val="009336EC"/>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631CC"/>
    <w:rsid w:val="00963619"/>
    <w:rsid w:val="00963E7D"/>
    <w:rsid w:val="009656BC"/>
    <w:rsid w:val="009657F1"/>
    <w:rsid w:val="0096625D"/>
    <w:rsid w:val="00966DC6"/>
    <w:rsid w:val="009709F8"/>
    <w:rsid w:val="00970FCF"/>
    <w:rsid w:val="00972929"/>
    <w:rsid w:val="00972F91"/>
    <w:rsid w:val="00973827"/>
    <w:rsid w:val="009742D3"/>
    <w:rsid w:val="009758CA"/>
    <w:rsid w:val="009771B8"/>
    <w:rsid w:val="00977BA7"/>
    <w:rsid w:val="00980138"/>
    <w:rsid w:val="00980517"/>
    <w:rsid w:val="0098194F"/>
    <w:rsid w:val="00981FFF"/>
    <w:rsid w:val="009826C8"/>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C6F"/>
    <w:rsid w:val="009A14EF"/>
    <w:rsid w:val="009A2DF9"/>
    <w:rsid w:val="009A3A86"/>
    <w:rsid w:val="009A4869"/>
    <w:rsid w:val="009A6A6B"/>
    <w:rsid w:val="009A6B62"/>
    <w:rsid w:val="009B1390"/>
    <w:rsid w:val="009B1ED2"/>
    <w:rsid w:val="009B1EF9"/>
    <w:rsid w:val="009B26AC"/>
    <w:rsid w:val="009B2E90"/>
    <w:rsid w:val="009B3466"/>
    <w:rsid w:val="009B37E2"/>
    <w:rsid w:val="009B3E2E"/>
    <w:rsid w:val="009B4519"/>
    <w:rsid w:val="009B506B"/>
    <w:rsid w:val="009B57EF"/>
    <w:rsid w:val="009B5B85"/>
    <w:rsid w:val="009B7204"/>
    <w:rsid w:val="009B7910"/>
    <w:rsid w:val="009B7D6D"/>
    <w:rsid w:val="009C0074"/>
    <w:rsid w:val="009C0564"/>
    <w:rsid w:val="009C1966"/>
    <w:rsid w:val="009C2685"/>
    <w:rsid w:val="009C2BBC"/>
    <w:rsid w:val="009C36BA"/>
    <w:rsid w:val="009C39BC"/>
    <w:rsid w:val="009C4BC2"/>
    <w:rsid w:val="009C4D22"/>
    <w:rsid w:val="009C7320"/>
    <w:rsid w:val="009D0729"/>
    <w:rsid w:val="009D0F66"/>
    <w:rsid w:val="009D1A06"/>
    <w:rsid w:val="009D1BA4"/>
    <w:rsid w:val="009D1BEC"/>
    <w:rsid w:val="009D22E4"/>
    <w:rsid w:val="009D22F7"/>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3A22"/>
    <w:rsid w:val="00A04634"/>
    <w:rsid w:val="00A06119"/>
    <w:rsid w:val="00A07A48"/>
    <w:rsid w:val="00A108EE"/>
    <w:rsid w:val="00A10BB8"/>
    <w:rsid w:val="00A11DBC"/>
    <w:rsid w:val="00A1200D"/>
    <w:rsid w:val="00A137E4"/>
    <w:rsid w:val="00A14813"/>
    <w:rsid w:val="00A1566A"/>
    <w:rsid w:val="00A15F1F"/>
    <w:rsid w:val="00A165BF"/>
    <w:rsid w:val="00A172E8"/>
    <w:rsid w:val="00A179FF"/>
    <w:rsid w:val="00A2075C"/>
    <w:rsid w:val="00A21A36"/>
    <w:rsid w:val="00A22B11"/>
    <w:rsid w:val="00A241FF"/>
    <w:rsid w:val="00A24468"/>
    <w:rsid w:val="00A25294"/>
    <w:rsid w:val="00A254EE"/>
    <w:rsid w:val="00A25BE7"/>
    <w:rsid w:val="00A27008"/>
    <w:rsid w:val="00A279F0"/>
    <w:rsid w:val="00A27CDF"/>
    <w:rsid w:val="00A309C6"/>
    <w:rsid w:val="00A30AAD"/>
    <w:rsid w:val="00A30ACC"/>
    <w:rsid w:val="00A30D13"/>
    <w:rsid w:val="00A314F9"/>
    <w:rsid w:val="00A319D0"/>
    <w:rsid w:val="00A32316"/>
    <w:rsid w:val="00A33172"/>
    <w:rsid w:val="00A3432B"/>
    <w:rsid w:val="00A346BA"/>
    <w:rsid w:val="00A34C67"/>
    <w:rsid w:val="00A34D62"/>
    <w:rsid w:val="00A35EBD"/>
    <w:rsid w:val="00A3611D"/>
    <w:rsid w:val="00A36339"/>
    <w:rsid w:val="00A366E4"/>
    <w:rsid w:val="00A42585"/>
    <w:rsid w:val="00A4376F"/>
    <w:rsid w:val="00A44A54"/>
    <w:rsid w:val="00A4549F"/>
    <w:rsid w:val="00A45B9B"/>
    <w:rsid w:val="00A462FE"/>
    <w:rsid w:val="00A501C9"/>
    <w:rsid w:val="00A50506"/>
    <w:rsid w:val="00A50D47"/>
    <w:rsid w:val="00A5176C"/>
    <w:rsid w:val="00A52FB0"/>
    <w:rsid w:val="00A53F55"/>
    <w:rsid w:val="00A5417B"/>
    <w:rsid w:val="00A54599"/>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30A2"/>
    <w:rsid w:val="00A632B8"/>
    <w:rsid w:val="00A63BF3"/>
    <w:rsid w:val="00A642FD"/>
    <w:rsid w:val="00A64942"/>
    <w:rsid w:val="00A65911"/>
    <w:rsid w:val="00A6643C"/>
    <w:rsid w:val="00A67544"/>
    <w:rsid w:val="00A67EDC"/>
    <w:rsid w:val="00A7075B"/>
    <w:rsid w:val="00A71CE6"/>
    <w:rsid w:val="00A71D23"/>
    <w:rsid w:val="00A7333A"/>
    <w:rsid w:val="00A7395C"/>
    <w:rsid w:val="00A73D0D"/>
    <w:rsid w:val="00A74A92"/>
    <w:rsid w:val="00A75CC1"/>
    <w:rsid w:val="00A75E88"/>
    <w:rsid w:val="00A76686"/>
    <w:rsid w:val="00A8012A"/>
    <w:rsid w:val="00A8056E"/>
    <w:rsid w:val="00A810F9"/>
    <w:rsid w:val="00A82D58"/>
    <w:rsid w:val="00A8399D"/>
    <w:rsid w:val="00A83E3D"/>
    <w:rsid w:val="00A84139"/>
    <w:rsid w:val="00A8443A"/>
    <w:rsid w:val="00A8479C"/>
    <w:rsid w:val="00A8557B"/>
    <w:rsid w:val="00A85A05"/>
    <w:rsid w:val="00A85A0A"/>
    <w:rsid w:val="00A86D63"/>
    <w:rsid w:val="00A87797"/>
    <w:rsid w:val="00A90E72"/>
    <w:rsid w:val="00A918BE"/>
    <w:rsid w:val="00A922A2"/>
    <w:rsid w:val="00A9327B"/>
    <w:rsid w:val="00A93B69"/>
    <w:rsid w:val="00A948DD"/>
    <w:rsid w:val="00A95FD7"/>
    <w:rsid w:val="00A963C7"/>
    <w:rsid w:val="00AA1626"/>
    <w:rsid w:val="00AA1996"/>
    <w:rsid w:val="00AA1C25"/>
    <w:rsid w:val="00AA2B84"/>
    <w:rsid w:val="00AA3DB7"/>
    <w:rsid w:val="00AA51F5"/>
    <w:rsid w:val="00AA5E3B"/>
    <w:rsid w:val="00AA68B4"/>
    <w:rsid w:val="00AA74EB"/>
    <w:rsid w:val="00AA7D9B"/>
    <w:rsid w:val="00AB0543"/>
    <w:rsid w:val="00AB0AC9"/>
    <w:rsid w:val="00AB185A"/>
    <w:rsid w:val="00AB1B65"/>
    <w:rsid w:val="00AB1BA7"/>
    <w:rsid w:val="00AB1E04"/>
    <w:rsid w:val="00AB29CF"/>
    <w:rsid w:val="00AB3113"/>
    <w:rsid w:val="00AB348A"/>
    <w:rsid w:val="00AB3F38"/>
    <w:rsid w:val="00AB43EC"/>
    <w:rsid w:val="00AB4BF4"/>
    <w:rsid w:val="00AB5ADF"/>
    <w:rsid w:val="00AB5E57"/>
    <w:rsid w:val="00AB725F"/>
    <w:rsid w:val="00AC0705"/>
    <w:rsid w:val="00AC109B"/>
    <w:rsid w:val="00AC1462"/>
    <w:rsid w:val="00AC165E"/>
    <w:rsid w:val="00AC3D02"/>
    <w:rsid w:val="00AC425C"/>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7305"/>
    <w:rsid w:val="00AD74AB"/>
    <w:rsid w:val="00AD7E64"/>
    <w:rsid w:val="00AE0C56"/>
    <w:rsid w:val="00AE149E"/>
    <w:rsid w:val="00AE15B2"/>
    <w:rsid w:val="00AE21BB"/>
    <w:rsid w:val="00AE22F2"/>
    <w:rsid w:val="00AE29FC"/>
    <w:rsid w:val="00AE2F3F"/>
    <w:rsid w:val="00AE318A"/>
    <w:rsid w:val="00AE3B4E"/>
    <w:rsid w:val="00AE59EC"/>
    <w:rsid w:val="00AE67B3"/>
    <w:rsid w:val="00AE733B"/>
    <w:rsid w:val="00AE7864"/>
    <w:rsid w:val="00AE7949"/>
    <w:rsid w:val="00AF25D5"/>
    <w:rsid w:val="00AF2B91"/>
    <w:rsid w:val="00AF3DBB"/>
    <w:rsid w:val="00AF5194"/>
    <w:rsid w:val="00AF53EF"/>
    <w:rsid w:val="00AF6866"/>
    <w:rsid w:val="00AF73C3"/>
    <w:rsid w:val="00AF795C"/>
    <w:rsid w:val="00B00752"/>
    <w:rsid w:val="00B01DB9"/>
    <w:rsid w:val="00B0244F"/>
    <w:rsid w:val="00B026C1"/>
    <w:rsid w:val="00B02B9C"/>
    <w:rsid w:val="00B0353B"/>
    <w:rsid w:val="00B040B2"/>
    <w:rsid w:val="00B05741"/>
    <w:rsid w:val="00B05997"/>
    <w:rsid w:val="00B05BF1"/>
    <w:rsid w:val="00B0625F"/>
    <w:rsid w:val="00B06B91"/>
    <w:rsid w:val="00B07BD7"/>
    <w:rsid w:val="00B10558"/>
    <w:rsid w:val="00B109AD"/>
    <w:rsid w:val="00B11511"/>
    <w:rsid w:val="00B1472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128"/>
    <w:rsid w:val="00B31246"/>
    <w:rsid w:val="00B326FF"/>
    <w:rsid w:val="00B340AA"/>
    <w:rsid w:val="00B34A9F"/>
    <w:rsid w:val="00B34B80"/>
    <w:rsid w:val="00B34F6F"/>
    <w:rsid w:val="00B35CDA"/>
    <w:rsid w:val="00B36358"/>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E0B"/>
    <w:rsid w:val="00B63C32"/>
    <w:rsid w:val="00B64434"/>
    <w:rsid w:val="00B65BF7"/>
    <w:rsid w:val="00B66F76"/>
    <w:rsid w:val="00B711CE"/>
    <w:rsid w:val="00B71DC8"/>
    <w:rsid w:val="00B746C6"/>
    <w:rsid w:val="00B75971"/>
    <w:rsid w:val="00B7604C"/>
    <w:rsid w:val="00B7652C"/>
    <w:rsid w:val="00B766BF"/>
    <w:rsid w:val="00B76FA6"/>
    <w:rsid w:val="00B80910"/>
    <w:rsid w:val="00B818F4"/>
    <w:rsid w:val="00B81BC9"/>
    <w:rsid w:val="00B8222F"/>
    <w:rsid w:val="00B82615"/>
    <w:rsid w:val="00B83444"/>
    <w:rsid w:val="00B836ED"/>
    <w:rsid w:val="00B8393D"/>
    <w:rsid w:val="00B853BE"/>
    <w:rsid w:val="00B86476"/>
    <w:rsid w:val="00B86A3D"/>
    <w:rsid w:val="00B875C7"/>
    <w:rsid w:val="00B87F3B"/>
    <w:rsid w:val="00B90D10"/>
    <w:rsid w:val="00B90FE5"/>
    <w:rsid w:val="00B91073"/>
    <w:rsid w:val="00B919AD"/>
    <w:rsid w:val="00B91A2B"/>
    <w:rsid w:val="00B93204"/>
    <w:rsid w:val="00B943F5"/>
    <w:rsid w:val="00B94E17"/>
    <w:rsid w:val="00B957FE"/>
    <w:rsid w:val="00B95F02"/>
    <w:rsid w:val="00B96BEF"/>
    <w:rsid w:val="00B96FC0"/>
    <w:rsid w:val="00B97260"/>
    <w:rsid w:val="00B97A69"/>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5F3C"/>
    <w:rsid w:val="00BB5FCB"/>
    <w:rsid w:val="00BB604B"/>
    <w:rsid w:val="00BC00EC"/>
    <w:rsid w:val="00BC04D0"/>
    <w:rsid w:val="00BC08C5"/>
    <w:rsid w:val="00BC12FB"/>
    <w:rsid w:val="00BC1C3C"/>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2419"/>
    <w:rsid w:val="00C02766"/>
    <w:rsid w:val="00C02F4E"/>
    <w:rsid w:val="00C03EE8"/>
    <w:rsid w:val="00C04620"/>
    <w:rsid w:val="00C04A9D"/>
    <w:rsid w:val="00C05BEC"/>
    <w:rsid w:val="00C06E7D"/>
    <w:rsid w:val="00C1112B"/>
    <w:rsid w:val="00C11993"/>
    <w:rsid w:val="00C11A88"/>
    <w:rsid w:val="00C12012"/>
    <w:rsid w:val="00C12874"/>
    <w:rsid w:val="00C12BC1"/>
    <w:rsid w:val="00C13BDA"/>
    <w:rsid w:val="00C13FFD"/>
    <w:rsid w:val="00C14581"/>
    <w:rsid w:val="00C14632"/>
    <w:rsid w:val="00C14F6F"/>
    <w:rsid w:val="00C16C30"/>
    <w:rsid w:val="00C1715E"/>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E57"/>
    <w:rsid w:val="00C52744"/>
    <w:rsid w:val="00C53EB3"/>
    <w:rsid w:val="00C542D4"/>
    <w:rsid w:val="00C54D71"/>
    <w:rsid w:val="00C558F2"/>
    <w:rsid w:val="00C563F5"/>
    <w:rsid w:val="00C570F7"/>
    <w:rsid w:val="00C6240E"/>
    <w:rsid w:val="00C628B8"/>
    <w:rsid w:val="00C62CD5"/>
    <w:rsid w:val="00C636E6"/>
    <w:rsid w:val="00C639D6"/>
    <w:rsid w:val="00C63F8E"/>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DEA"/>
    <w:rsid w:val="00C832DC"/>
    <w:rsid w:val="00C8377F"/>
    <w:rsid w:val="00C84887"/>
    <w:rsid w:val="00C8646D"/>
    <w:rsid w:val="00C874A9"/>
    <w:rsid w:val="00C91DE3"/>
    <w:rsid w:val="00C92C7F"/>
    <w:rsid w:val="00C9369D"/>
    <w:rsid w:val="00C944FA"/>
    <w:rsid w:val="00C953EF"/>
    <w:rsid w:val="00C95854"/>
    <w:rsid w:val="00C95EFF"/>
    <w:rsid w:val="00C96553"/>
    <w:rsid w:val="00C96E6F"/>
    <w:rsid w:val="00C97872"/>
    <w:rsid w:val="00CA0143"/>
    <w:rsid w:val="00CA0532"/>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F0E"/>
    <w:rsid w:val="00CB517E"/>
    <w:rsid w:val="00CB5B1E"/>
    <w:rsid w:val="00CB787A"/>
    <w:rsid w:val="00CB7B36"/>
    <w:rsid w:val="00CC0C4A"/>
    <w:rsid w:val="00CC17F0"/>
    <w:rsid w:val="00CC1853"/>
    <w:rsid w:val="00CC1FAE"/>
    <w:rsid w:val="00CC380A"/>
    <w:rsid w:val="00CC3A23"/>
    <w:rsid w:val="00CC56C1"/>
    <w:rsid w:val="00CC5821"/>
    <w:rsid w:val="00CC737C"/>
    <w:rsid w:val="00CD087D"/>
    <w:rsid w:val="00CD0F5D"/>
    <w:rsid w:val="00CD1C0B"/>
    <w:rsid w:val="00CD239A"/>
    <w:rsid w:val="00CD5512"/>
    <w:rsid w:val="00CD6E3D"/>
    <w:rsid w:val="00CD71AB"/>
    <w:rsid w:val="00CD7ADA"/>
    <w:rsid w:val="00CE0109"/>
    <w:rsid w:val="00CE0D97"/>
    <w:rsid w:val="00CE1FC5"/>
    <w:rsid w:val="00CE46E5"/>
    <w:rsid w:val="00CE485A"/>
    <w:rsid w:val="00CE5279"/>
    <w:rsid w:val="00CE5A78"/>
    <w:rsid w:val="00CE78AE"/>
    <w:rsid w:val="00CE7E62"/>
    <w:rsid w:val="00CF08B7"/>
    <w:rsid w:val="00CF195E"/>
    <w:rsid w:val="00CF19DA"/>
    <w:rsid w:val="00CF1C7F"/>
    <w:rsid w:val="00CF1CC0"/>
    <w:rsid w:val="00CF2074"/>
    <w:rsid w:val="00CF24F8"/>
    <w:rsid w:val="00CF2653"/>
    <w:rsid w:val="00CF3DD3"/>
    <w:rsid w:val="00CF4247"/>
    <w:rsid w:val="00CF51D1"/>
    <w:rsid w:val="00CF5263"/>
    <w:rsid w:val="00CF60B5"/>
    <w:rsid w:val="00D004FA"/>
    <w:rsid w:val="00D013EA"/>
    <w:rsid w:val="00D01B21"/>
    <w:rsid w:val="00D01E09"/>
    <w:rsid w:val="00D01E2F"/>
    <w:rsid w:val="00D027C7"/>
    <w:rsid w:val="00D03102"/>
    <w:rsid w:val="00D03727"/>
    <w:rsid w:val="00D0378A"/>
    <w:rsid w:val="00D05132"/>
    <w:rsid w:val="00D054F8"/>
    <w:rsid w:val="00D05EA9"/>
    <w:rsid w:val="00D071F8"/>
    <w:rsid w:val="00D07252"/>
    <w:rsid w:val="00D074F4"/>
    <w:rsid w:val="00D07CE1"/>
    <w:rsid w:val="00D1026A"/>
    <w:rsid w:val="00D107CF"/>
    <w:rsid w:val="00D11B0B"/>
    <w:rsid w:val="00D12293"/>
    <w:rsid w:val="00D13F36"/>
    <w:rsid w:val="00D14118"/>
    <w:rsid w:val="00D14236"/>
    <w:rsid w:val="00D14553"/>
    <w:rsid w:val="00D145AF"/>
    <w:rsid w:val="00D14DB1"/>
    <w:rsid w:val="00D15F43"/>
    <w:rsid w:val="00D16E87"/>
    <w:rsid w:val="00D20B8B"/>
    <w:rsid w:val="00D2162C"/>
    <w:rsid w:val="00D2170B"/>
    <w:rsid w:val="00D21A3C"/>
    <w:rsid w:val="00D233F1"/>
    <w:rsid w:val="00D2469B"/>
    <w:rsid w:val="00D256F8"/>
    <w:rsid w:val="00D2685C"/>
    <w:rsid w:val="00D26A3B"/>
    <w:rsid w:val="00D26C2B"/>
    <w:rsid w:val="00D302FD"/>
    <w:rsid w:val="00D3038A"/>
    <w:rsid w:val="00D3098D"/>
    <w:rsid w:val="00D31A02"/>
    <w:rsid w:val="00D3323C"/>
    <w:rsid w:val="00D33456"/>
    <w:rsid w:val="00D3356F"/>
    <w:rsid w:val="00D3396F"/>
    <w:rsid w:val="00D33D4D"/>
    <w:rsid w:val="00D34A0B"/>
    <w:rsid w:val="00D35EBF"/>
    <w:rsid w:val="00D36234"/>
    <w:rsid w:val="00D36371"/>
    <w:rsid w:val="00D433C3"/>
    <w:rsid w:val="00D437D8"/>
    <w:rsid w:val="00D44994"/>
    <w:rsid w:val="00D45DF3"/>
    <w:rsid w:val="00D46174"/>
    <w:rsid w:val="00D4658F"/>
    <w:rsid w:val="00D47DD0"/>
    <w:rsid w:val="00D50183"/>
    <w:rsid w:val="00D51D12"/>
    <w:rsid w:val="00D529C9"/>
    <w:rsid w:val="00D53039"/>
    <w:rsid w:val="00D5362B"/>
    <w:rsid w:val="00D55072"/>
    <w:rsid w:val="00D551B5"/>
    <w:rsid w:val="00D56DB2"/>
    <w:rsid w:val="00D5747F"/>
    <w:rsid w:val="00D57495"/>
    <w:rsid w:val="00D574FA"/>
    <w:rsid w:val="00D57FEE"/>
    <w:rsid w:val="00D60C8D"/>
    <w:rsid w:val="00D61374"/>
    <w:rsid w:val="00D6168A"/>
    <w:rsid w:val="00D616A5"/>
    <w:rsid w:val="00D61FF0"/>
    <w:rsid w:val="00D6211D"/>
    <w:rsid w:val="00D62C97"/>
    <w:rsid w:val="00D63517"/>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AB8"/>
    <w:rsid w:val="00D81792"/>
    <w:rsid w:val="00D8192A"/>
    <w:rsid w:val="00D819B1"/>
    <w:rsid w:val="00D82494"/>
    <w:rsid w:val="00D82B27"/>
    <w:rsid w:val="00D82EFB"/>
    <w:rsid w:val="00D83AE9"/>
    <w:rsid w:val="00D857B8"/>
    <w:rsid w:val="00D87175"/>
    <w:rsid w:val="00D87ABF"/>
    <w:rsid w:val="00D90CD3"/>
    <w:rsid w:val="00D918FA"/>
    <w:rsid w:val="00D919E6"/>
    <w:rsid w:val="00D91A8A"/>
    <w:rsid w:val="00D91BE1"/>
    <w:rsid w:val="00D92C29"/>
    <w:rsid w:val="00D936E2"/>
    <w:rsid w:val="00D95104"/>
    <w:rsid w:val="00D95600"/>
    <w:rsid w:val="00D9683C"/>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C0AAE"/>
    <w:rsid w:val="00DC1327"/>
    <w:rsid w:val="00DC1350"/>
    <w:rsid w:val="00DC3237"/>
    <w:rsid w:val="00DC3C1E"/>
    <w:rsid w:val="00DC41A4"/>
    <w:rsid w:val="00DC5672"/>
    <w:rsid w:val="00DC60A2"/>
    <w:rsid w:val="00DC6600"/>
    <w:rsid w:val="00DC67BD"/>
    <w:rsid w:val="00DC6924"/>
    <w:rsid w:val="00DC6EF3"/>
    <w:rsid w:val="00DC71F2"/>
    <w:rsid w:val="00DD2025"/>
    <w:rsid w:val="00DD22EA"/>
    <w:rsid w:val="00DD2345"/>
    <w:rsid w:val="00DD23A0"/>
    <w:rsid w:val="00DD3EF5"/>
    <w:rsid w:val="00DD53FA"/>
    <w:rsid w:val="00DD5F42"/>
    <w:rsid w:val="00DD617B"/>
    <w:rsid w:val="00DE0E59"/>
    <w:rsid w:val="00DE0F6C"/>
    <w:rsid w:val="00DE219B"/>
    <w:rsid w:val="00DE2855"/>
    <w:rsid w:val="00DE29A0"/>
    <w:rsid w:val="00DE4F7A"/>
    <w:rsid w:val="00DE52E3"/>
    <w:rsid w:val="00DE571A"/>
    <w:rsid w:val="00DE7C00"/>
    <w:rsid w:val="00DF03E9"/>
    <w:rsid w:val="00DF03ED"/>
    <w:rsid w:val="00DF04EE"/>
    <w:rsid w:val="00DF0BF4"/>
    <w:rsid w:val="00DF0E74"/>
    <w:rsid w:val="00DF179D"/>
    <w:rsid w:val="00DF1E9C"/>
    <w:rsid w:val="00DF3908"/>
    <w:rsid w:val="00DF4572"/>
    <w:rsid w:val="00DF4658"/>
    <w:rsid w:val="00DF5773"/>
    <w:rsid w:val="00DF6836"/>
    <w:rsid w:val="00DF6C8B"/>
    <w:rsid w:val="00DF6F17"/>
    <w:rsid w:val="00DF78FA"/>
    <w:rsid w:val="00E002F1"/>
    <w:rsid w:val="00E0082C"/>
    <w:rsid w:val="00E00B46"/>
    <w:rsid w:val="00E01DAA"/>
    <w:rsid w:val="00E023E5"/>
    <w:rsid w:val="00E02432"/>
    <w:rsid w:val="00E04022"/>
    <w:rsid w:val="00E0728F"/>
    <w:rsid w:val="00E0755C"/>
    <w:rsid w:val="00E07EF2"/>
    <w:rsid w:val="00E130DB"/>
    <w:rsid w:val="00E1418D"/>
    <w:rsid w:val="00E1443F"/>
    <w:rsid w:val="00E14A7E"/>
    <w:rsid w:val="00E151E1"/>
    <w:rsid w:val="00E15EBF"/>
    <w:rsid w:val="00E17619"/>
    <w:rsid w:val="00E17805"/>
    <w:rsid w:val="00E20F79"/>
    <w:rsid w:val="00E21278"/>
    <w:rsid w:val="00E22CCD"/>
    <w:rsid w:val="00E23A11"/>
    <w:rsid w:val="00E23FB7"/>
    <w:rsid w:val="00E24A27"/>
    <w:rsid w:val="00E24CA0"/>
    <w:rsid w:val="00E25F89"/>
    <w:rsid w:val="00E30737"/>
    <w:rsid w:val="00E32D62"/>
    <w:rsid w:val="00E339DC"/>
    <w:rsid w:val="00E33E15"/>
    <w:rsid w:val="00E361B8"/>
    <w:rsid w:val="00E36A1B"/>
    <w:rsid w:val="00E422AF"/>
    <w:rsid w:val="00E429ED"/>
    <w:rsid w:val="00E42B0B"/>
    <w:rsid w:val="00E4341A"/>
    <w:rsid w:val="00E43F37"/>
    <w:rsid w:val="00E450ED"/>
    <w:rsid w:val="00E47680"/>
    <w:rsid w:val="00E4791B"/>
    <w:rsid w:val="00E47E31"/>
    <w:rsid w:val="00E50AC6"/>
    <w:rsid w:val="00E50F09"/>
    <w:rsid w:val="00E51664"/>
    <w:rsid w:val="00E51DDD"/>
    <w:rsid w:val="00E51FDD"/>
    <w:rsid w:val="00E52435"/>
    <w:rsid w:val="00E52CF3"/>
    <w:rsid w:val="00E53122"/>
    <w:rsid w:val="00E5351B"/>
    <w:rsid w:val="00E53FA9"/>
    <w:rsid w:val="00E5414C"/>
    <w:rsid w:val="00E547B3"/>
    <w:rsid w:val="00E5733D"/>
    <w:rsid w:val="00E61970"/>
    <w:rsid w:val="00E61CC0"/>
    <w:rsid w:val="00E6277B"/>
    <w:rsid w:val="00E63212"/>
    <w:rsid w:val="00E64424"/>
    <w:rsid w:val="00E64C99"/>
    <w:rsid w:val="00E64CD3"/>
    <w:rsid w:val="00E671C9"/>
    <w:rsid w:val="00E6743F"/>
    <w:rsid w:val="00E6758E"/>
    <w:rsid w:val="00E67DD8"/>
    <w:rsid w:val="00E67E23"/>
    <w:rsid w:val="00E67E75"/>
    <w:rsid w:val="00E70016"/>
    <w:rsid w:val="00E70BC7"/>
    <w:rsid w:val="00E70FBC"/>
    <w:rsid w:val="00E72C01"/>
    <w:rsid w:val="00E741AC"/>
    <w:rsid w:val="00E74F44"/>
    <w:rsid w:val="00E75174"/>
    <w:rsid w:val="00E75EBA"/>
    <w:rsid w:val="00E763B4"/>
    <w:rsid w:val="00E77848"/>
    <w:rsid w:val="00E80514"/>
    <w:rsid w:val="00E80E5B"/>
    <w:rsid w:val="00E816C5"/>
    <w:rsid w:val="00E81CE0"/>
    <w:rsid w:val="00E81E7C"/>
    <w:rsid w:val="00E8224D"/>
    <w:rsid w:val="00E8263E"/>
    <w:rsid w:val="00E84E32"/>
    <w:rsid w:val="00E8519F"/>
    <w:rsid w:val="00E85CC3"/>
    <w:rsid w:val="00E8644A"/>
    <w:rsid w:val="00E90279"/>
    <w:rsid w:val="00E90635"/>
    <w:rsid w:val="00E909A1"/>
    <w:rsid w:val="00E90BFF"/>
    <w:rsid w:val="00E91F04"/>
    <w:rsid w:val="00E91F35"/>
    <w:rsid w:val="00E926C3"/>
    <w:rsid w:val="00E95BA6"/>
    <w:rsid w:val="00E96AD2"/>
    <w:rsid w:val="00E97648"/>
    <w:rsid w:val="00EA0DD4"/>
    <w:rsid w:val="00EA0E4A"/>
    <w:rsid w:val="00EA1A54"/>
    <w:rsid w:val="00EA2226"/>
    <w:rsid w:val="00EA26FC"/>
    <w:rsid w:val="00EA3B5A"/>
    <w:rsid w:val="00EA410E"/>
    <w:rsid w:val="00EA4533"/>
    <w:rsid w:val="00EA4EF6"/>
    <w:rsid w:val="00EA4FD1"/>
    <w:rsid w:val="00EA53C2"/>
    <w:rsid w:val="00EA5695"/>
    <w:rsid w:val="00EA5B0A"/>
    <w:rsid w:val="00EA65AD"/>
    <w:rsid w:val="00EA7FCF"/>
    <w:rsid w:val="00EB0CA3"/>
    <w:rsid w:val="00EB104F"/>
    <w:rsid w:val="00EB1B27"/>
    <w:rsid w:val="00EB1DA8"/>
    <w:rsid w:val="00EB21D1"/>
    <w:rsid w:val="00EB2F7E"/>
    <w:rsid w:val="00EB304C"/>
    <w:rsid w:val="00EB4CFF"/>
    <w:rsid w:val="00EB5476"/>
    <w:rsid w:val="00EB5A5A"/>
    <w:rsid w:val="00EB70B0"/>
    <w:rsid w:val="00EB7633"/>
    <w:rsid w:val="00EB7736"/>
    <w:rsid w:val="00EC2E2D"/>
    <w:rsid w:val="00EC462B"/>
    <w:rsid w:val="00EC4723"/>
    <w:rsid w:val="00EC56E0"/>
    <w:rsid w:val="00EC6057"/>
    <w:rsid w:val="00EC6847"/>
    <w:rsid w:val="00EC7DB6"/>
    <w:rsid w:val="00ED162F"/>
    <w:rsid w:val="00ED17A7"/>
    <w:rsid w:val="00ED2E52"/>
    <w:rsid w:val="00ED3024"/>
    <w:rsid w:val="00ED32B4"/>
    <w:rsid w:val="00ED50B8"/>
    <w:rsid w:val="00ED5FE4"/>
    <w:rsid w:val="00ED7010"/>
    <w:rsid w:val="00ED71C5"/>
    <w:rsid w:val="00EE0866"/>
    <w:rsid w:val="00EE16FA"/>
    <w:rsid w:val="00EE3C42"/>
    <w:rsid w:val="00EE3D4F"/>
    <w:rsid w:val="00EE534D"/>
    <w:rsid w:val="00EE5560"/>
    <w:rsid w:val="00EE6F1E"/>
    <w:rsid w:val="00EF0348"/>
    <w:rsid w:val="00EF1F9C"/>
    <w:rsid w:val="00EF4366"/>
    <w:rsid w:val="00EF4CD6"/>
    <w:rsid w:val="00EF55A0"/>
    <w:rsid w:val="00EF5F4E"/>
    <w:rsid w:val="00EF63D1"/>
    <w:rsid w:val="00EF6513"/>
    <w:rsid w:val="00EF6683"/>
    <w:rsid w:val="00EF6FC7"/>
    <w:rsid w:val="00EF7002"/>
    <w:rsid w:val="00EF769B"/>
    <w:rsid w:val="00F0016D"/>
    <w:rsid w:val="00F027BA"/>
    <w:rsid w:val="00F02D8D"/>
    <w:rsid w:val="00F03E79"/>
    <w:rsid w:val="00F0628D"/>
    <w:rsid w:val="00F06651"/>
    <w:rsid w:val="00F07DE6"/>
    <w:rsid w:val="00F1056C"/>
    <w:rsid w:val="00F107F1"/>
    <w:rsid w:val="00F10FC1"/>
    <w:rsid w:val="00F112FD"/>
    <w:rsid w:val="00F133A1"/>
    <w:rsid w:val="00F13ECD"/>
    <w:rsid w:val="00F155CE"/>
    <w:rsid w:val="00F156CA"/>
    <w:rsid w:val="00F16BF2"/>
    <w:rsid w:val="00F17EAE"/>
    <w:rsid w:val="00F218CE"/>
    <w:rsid w:val="00F218D4"/>
    <w:rsid w:val="00F2250A"/>
    <w:rsid w:val="00F2432D"/>
    <w:rsid w:val="00F24788"/>
    <w:rsid w:val="00F24F2E"/>
    <w:rsid w:val="00F2640F"/>
    <w:rsid w:val="00F27513"/>
    <w:rsid w:val="00F27C34"/>
    <w:rsid w:val="00F27E46"/>
    <w:rsid w:val="00F301C2"/>
    <w:rsid w:val="00F302E1"/>
    <w:rsid w:val="00F3067E"/>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3BD"/>
    <w:rsid w:val="00F4367B"/>
    <w:rsid w:val="00F44EC5"/>
    <w:rsid w:val="00F47498"/>
    <w:rsid w:val="00F512B2"/>
    <w:rsid w:val="00F51688"/>
    <w:rsid w:val="00F5283D"/>
    <w:rsid w:val="00F52ABA"/>
    <w:rsid w:val="00F52BC7"/>
    <w:rsid w:val="00F53BF4"/>
    <w:rsid w:val="00F54266"/>
    <w:rsid w:val="00F55043"/>
    <w:rsid w:val="00F55DF7"/>
    <w:rsid w:val="00F56DCF"/>
    <w:rsid w:val="00F57034"/>
    <w:rsid w:val="00F6089B"/>
    <w:rsid w:val="00F60BE9"/>
    <w:rsid w:val="00F61FD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2EC"/>
    <w:rsid w:val="00F73D08"/>
    <w:rsid w:val="00F748D1"/>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537"/>
    <w:rsid w:val="00FB33DC"/>
    <w:rsid w:val="00FB3E00"/>
    <w:rsid w:val="00FB4338"/>
    <w:rsid w:val="00FB477E"/>
    <w:rsid w:val="00FB4C9C"/>
    <w:rsid w:val="00FB6165"/>
    <w:rsid w:val="00FC0150"/>
    <w:rsid w:val="00FC039D"/>
    <w:rsid w:val="00FC03AB"/>
    <w:rsid w:val="00FC31CF"/>
    <w:rsid w:val="00FC4729"/>
    <w:rsid w:val="00FC4A8C"/>
    <w:rsid w:val="00FC53DB"/>
    <w:rsid w:val="00FC5FC2"/>
    <w:rsid w:val="00FC6177"/>
    <w:rsid w:val="00FC63D1"/>
    <w:rsid w:val="00FC7528"/>
    <w:rsid w:val="00FD0572"/>
    <w:rsid w:val="00FD1A97"/>
    <w:rsid w:val="00FD2D7B"/>
    <w:rsid w:val="00FD37F6"/>
    <w:rsid w:val="00FD4589"/>
    <w:rsid w:val="00FD473E"/>
    <w:rsid w:val="00FD62A5"/>
    <w:rsid w:val="00FD7DF9"/>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61EC1-F438-4B3B-80AC-9E959255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15</Pages>
  <Words>5995</Words>
  <Characters>34177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2007-06-18T16:08:00Z</cp:lastPrinted>
  <dcterms:created xsi:type="dcterms:W3CDTF">2018-09-28T15:08:00Z</dcterms:created>
  <dcterms:modified xsi:type="dcterms:W3CDTF">2018-09-28T22:19:00Z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(3)Z+JxsyTq+Bl+dAXn80WF5nFQH6mkdJZwDSkq09NC4ItCXaU1wnFW4oYAsqKLgKtj/lXrmbpD
7JjJ68phBuwkz3/mpcsaVgvhX5qz9A37RtnpNSY0Wi9GmWvcurKIykqwjNf6YY8IJnnJvr7Y
vOecrDoqcg2UrEl1rkNPwK35LWq0jcOMryWSr0MyzzXeVEpkRqCheQ1EEm6LLYSJi/Hq1CqB
c1yyc2Ls0lkcTki6MK</vt:lpwstr>
  </property>
  <property fmtid="{D5CDD505-2E9C-101B-9397-08002B2CF9AE}" pid="13" name="_2015_ms_pID_725343_00">
    <vt:lpwstr>_2015_ms_pID_725343</vt:lpwstr>
  </property>
  <property fmtid="{D5CDD505-2E9C-101B-9397-08002B2CF9AE}" pid="14" name="_2015_ms_pID_7253431">
    <vt:lpwstr>9BVymT52NnYTojinrYw4cyAhuKaCEO0FkYv00eXj/fAWGjvkgjZuFe
fh8H0kxKdrAhAknpioKAAhcd24TLl5KH96vS1hffFSpeSfOuBtcH8SshuUIHFVCMGgDz2Uyv
UFzaTMooR+Kg/Gu1tgEHVi2VPEwMCfYG4MMd4OVL1ZU4tczoA5fCgciJdTGmjmwPoq9Vf2aW
yIMDQVGh/sdRHMPF70DGm5rC49rGhqkFYjY7</vt:lpwstr>
  </property>
  <property fmtid="{D5CDD505-2E9C-101B-9397-08002B2CF9AE}" pid="15" name="_2015_ms_pID_7253431_00">
    <vt:lpwstr>_2015_ms_pID_7253431</vt:lpwstr>
  </property>
  <property fmtid="{D5CDD505-2E9C-101B-9397-08002B2CF9AE}" pid="16" name="_2015_ms_pID_7253432">
    <vt:lpwstr>IwhiX0y3JVPbnXOhpIP4MWXNhXhW1kV4whpl
lLl+yeVg2GpepiJfwTKzLk8VZwEYJg==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1538144274</vt:lpwstr>
  </property>
</Properties>
</file>