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103E93D1" w:rsidR="007F637A" w:rsidRPr="000A64D8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AD3FE3">
        <w:rPr>
          <w:rFonts w:ascii="Arial" w:hAnsi="Arial" w:cs="Arial"/>
          <w:b/>
          <w:sz w:val="24"/>
          <w:szCs w:val="24"/>
        </w:rPr>
        <w:t>4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180</w:t>
      </w:r>
      <w:r w:rsidR="0059599A">
        <w:rPr>
          <w:rFonts w:ascii="Arial" w:hAnsi="Arial" w:cs="Arial"/>
          <w:b/>
          <w:sz w:val="24"/>
          <w:szCs w:val="24"/>
        </w:rPr>
        <w:t>9025</w:t>
      </w:r>
    </w:p>
    <w:p w14:paraId="7B06AEC4" w14:textId="7919C774" w:rsidR="007F637A" w:rsidRDefault="007F637A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AD3FE3">
        <w:rPr>
          <w:rFonts w:ascii="Arial" w:hAnsi="Arial" w:cs="Arial"/>
          <w:b/>
          <w:sz w:val="24"/>
          <w:szCs w:val="24"/>
        </w:rPr>
        <w:t>0</w:t>
      </w:r>
      <w:r w:rsidR="00AD3FE3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D3FE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 2</w:t>
      </w:r>
      <w:r w:rsidR="00AD3FE3">
        <w:rPr>
          <w:rFonts w:ascii="Arial" w:hAnsi="Arial" w:cs="Arial"/>
          <w:b/>
          <w:sz w:val="24"/>
          <w:szCs w:val="24"/>
        </w:rPr>
        <w:t>4</w:t>
      </w:r>
      <w:r w:rsidRPr="00C615E8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D3FE3">
        <w:rPr>
          <w:rFonts w:ascii="Arial" w:hAnsi="Arial" w:cs="Arial"/>
          <w:b/>
          <w:sz w:val="24"/>
          <w:szCs w:val="24"/>
        </w:rPr>
        <w:t>August</w:t>
      </w:r>
      <w:r>
        <w:rPr>
          <w:rFonts w:ascii="Arial" w:hAnsi="Arial" w:cs="Arial"/>
          <w:b/>
          <w:sz w:val="24"/>
          <w:szCs w:val="24"/>
        </w:rPr>
        <w:t xml:space="preserve"> 201</w:t>
      </w:r>
      <w:r w:rsidR="00AD3FE3">
        <w:rPr>
          <w:rFonts w:ascii="Arial" w:hAnsi="Arial" w:cs="Arial"/>
          <w:b/>
          <w:sz w:val="24"/>
          <w:szCs w:val="24"/>
        </w:rPr>
        <w:t>8</w:t>
      </w:r>
    </w:p>
    <w:p w14:paraId="4A6B87B1" w14:textId="4D49FC6D" w:rsidR="007F637A" w:rsidRPr="00FD021C" w:rsidRDefault="00AD3FE3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D3FE3">
        <w:rPr>
          <w:rFonts w:ascii="Arial" w:hAnsi="Arial"/>
          <w:b/>
          <w:sz w:val="24"/>
          <w:lang w:eastAsia="zh-CN"/>
        </w:rPr>
        <w:t>Gothenburg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 w:rsidRPr="00AD3FE3">
        <w:rPr>
          <w:rFonts w:ascii="Arial" w:hAnsi="Arial"/>
          <w:b/>
          <w:sz w:val="24"/>
          <w:lang w:eastAsia="zh-CN"/>
        </w:rPr>
        <w:t>Sweden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5BF36CD9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</w:t>
      </w:r>
      <w:r w:rsidR="00A21323">
        <w:rPr>
          <w:sz w:val="22"/>
          <w:szCs w:val="22"/>
          <w:lang w:val="sv-FI"/>
        </w:rPr>
        <w:t>2</w:t>
      </w:r>
      <w:r w:rsidR="007C619A">
        <w:rPr>
          <w:sz w:val="22"/>
          <w:szCs w:val="22"/>
          <w:lang w:val="sv-FI"/>
        </w:rPr>
        <w:t>.</w:t>
      </w:r>
      <w:r w:rsidR="00FD3120">
        <w:rPr>
          <w:sz w:val="22"/>
          <w:szCs w:val="22"/>
          <w:lang w:val="sv-FI"/>
        </w:rPr>
        <w:t>1</w:t>
      </w:r>
      <w:r w:rsidR="00A21323">
        <w:rPr>
          <w:sz w:val="22"/>
          <w:szCs w:val="22"/>
          <w:lang w:val="sv-FI"/>
        </w:rPr>
        <w:t>.4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2E259751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FA0631" w:rsidRPr="00FA0631">
        <w:rPr>
          <w:sz w:val="22"/>
          <w:szCs w:val="22"/>
        </w:rPr>
        <w:t xml:space="preserve">Coexistence of </w:t>
      </w:r>
      <w:r w:rsidR="00B41DE5">
        <w:rPr>
          <w:sz w:val="22"/>
          <w:szCs w:val="22"/>
        </w:rPr>
        <w:t>LTE-MTC</w:t>
      </w:r>
      <w:r w:rsidR="00FA0631" w:rsidRPr="00FA0631">
        <w:rPr>
          <w:sz w:val="22"/>
          <w:szCs w:val="22"/>
        </w:rPr>
        <w:t xml:space="preserve"> with NR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12CB4F5" w14:textId="009C8CB5" w:rsidR="004B621A" w:rsidRPr="00FA0631" w:rsidRDefault="00FA0631" w:rsidP="00FA063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RAN#80 meeting, a new WID of </w:t>
      </w:r>
      <w:r w:rsidRPr="00FA0631">
        <w:rPr>
          <w:rFonts w:eastAsia="Batang"/>
          <w:i/>
          <w:snapToGrid w:val="0"/>
          <w:kern w:val="2"/>
          <w:sz w:val="22"/>
          <w:szCs w:val="22"/>
          <w:lang w:eastAsia="ko-KR"/>
        </w:rPr>
        <w:t xml:space="preserve">Rel-16 </w:t>
      </w:r>
      <w:r w:rsidR="00900302">
        <w:rPr>
          <w:rFonts w:eastAsia="Batang"/>
          <w:i/>
          <w:snapToGrid w:val="0"/>
          <w:kern w:val="2"/>
          <w:sz w:val="22"/>
          <w:szCs w:val="22"/>
          <w:lang w:eastAsia="ko-KR"/>
        </w:rPr>
        <w:t xml:space="preserve">MTC </w:t>
      </w:r>
      <w:r w:rsidRPr="00FA0631">
        <w:rPr>
          <w:rFonts w:eastAsia="Batang"/>
          <w:i/>
          <w:snapToGrid w:val="0"/>
          <w:kern w:val="2"/>
          <w:sz w:val="22"/>
          <w:szCs w:val="22"/>
          <w:lang w:eastAsia="ko-KR"/>
        </w:rPr>
        <w:t xml:space="preserve">enhancements for </w:t>
      </w:r>
      <w:r w:rsidR="00900302">
        <w:rPr>
          <w:rFonts w:eastAsia="Batang"/>
          <w:i/>
          <w:snapToGrid w:val="0"/>
          <w:kern w:val="2"/>
          <w:sz w:val="22"/>
          <w:szCs w:val="22"/>
          <w:lang w:eastAsia="ko-KR"/>
        </w:rPr>
        <w:t>LTE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[1] was approved with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objective to study the coexistence of </w:t>
      </w:r>
      <w:r w:rsidR="0059599A">
        <w:rPr>
          <w:rFonts w:eastAsia="Batang"/>
          <w:snapToGrid w:val="0"/>
          <w:kern w:val="2"/>
          <w:sz w:val="22"/>
          <w:szCs w:val="22"/>
          <w:lang w:eastAsia="ko-KR"/>
        </w:rPr>
        <w:t>LTE-MTC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NR. </w:t>
      </w:r>
    </w:p>
    <w:p w14:paraId="55C5A0E6" w14:textId="77777777" w:rsidR="00FA0631" w:rsidRPr="00FA0631" w:rsidRDefault="00FA0631" w:rsidP="00FA0631">
      <w:pPr>
        <w:spacing w:after="0"/>
        <w:rPr>
          <w:rFonts w:eastAsia="宋体"/>
          <w:b/>
          <w:bCs/>
          <w:u w:val="single"/>
          <w:lang w:eastAsia="en-US"/>
        </w:rPr>
      </w:pPr>
    </w:p>
    <w:p w14:paraId="19BA7D16" w14:textId="77777777" w:rsidR="00FA0631" w:rsidRPr="00FA0631" w:rsidRDefault="00FA0631" w:rsidP="00FA0631">
      <w:pPr>
        <w:spacing w:after="120"/>
        <w:rPr>
          <w:rFonts w:eastAsia="宋体"/>
          <w:b/>
          <w:bCs/>
          <w:u w:val="single"/>
          <w:lang w:val="en-US" w:eastAsia="en-US"/>
        </w:rPr>
      </w:pPr>
      <w:bookmarkStart w:id="0" w:name="_Hlk516692042"/>
      <w:r w:rsidRPr="00FA0631">
        <w:rPr>
          <w:rFonts w:eastAsia="宋体"/>
          <w:b/>
          <w:bCs/>
          <w:u w:val="single"/>
          <w:lang w:val="en-US" w:eastAsia="en-US"/>
        </w:rPr>
        <w:t>Coexistence with NR</w:t>
      </w:r>
    </w:p>
    <w:p w14:paraId="225D6D31" w14:textId="5AE059F2" w:rsidR="00FA0631" w:rsidRPr="00FA0631" w:rsidRDefault="00FA0631" w:rsidP="00FA0631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Study NR and LTE specifications to identify </w:t>
      </w:r>
      <w:bookmarkStart w:id="1" w:name="_Hlk516784255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possible issues related to coexistence of </w:t>
      </w:r>
      <w:bookmarkEnd w:id="1"/>
      <w:r w:rsidR="00900302">
        <w:rPr>
          <w:rFonts w:eastAsia="Batang"/>
          <w:snapToGrid w:val="0"/>
          <w:kern w:val="2"/>
          <w:sz w:val="22"/>
          <w:szCs w:val="22"/>
          <w:lang w:eastAsia="ko-KR"/>
        </w:rPr>
        <w:t>LTE-MTC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 [RAN4, RAN1, RAN2]</w:t>
      </w:r>
    </w:p>
    <w:bookmarkEnd w:id="0"/>
    <w:p w14:paraId="31060371" w14:textId="5B5C4180" w:rsidR="00C77218" w:rsidRPr="00FA0631" w:rsidRDefault="00C77218" w:rsidP="00B509B4">
      <w:pPr>
        <w:pStyle w:val="ListNumber"/>
        <w:numPr>
          <w:ilvl w:val="0"/>
          <w:numId w:val="0"/>
        </w:numPr>
      </w:pPr>
    </w:p>
    <w:p w14:paraId="2262A0BE" w14:textId="665F78B2" w:rsidR="00FA0631" w:rsidRPr="00FA0631" w:rsidRDefault="00FA0631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bookmarkStart w:id="2" w:name="_Ref178064866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this contribution, we will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provide our views on how </w:t>
      </w:r>
      <w:r w:rsidR="00900302">
        <w:rPr>
          <w:rFonts w:eastAsia="Batang"/>
          <w:snapToGrid w:val="0"/>
          <w:kern w:val="2"/>
          <w:sz w:val="22"/>
          <w:szCs w:val="22"/>
          <w:lang w:eastAsia="ko-KR"/>
        </w:rPr>
        <w:t>LTE-MTC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can be </w:t>
      </w:r>
      <w:proofErr w:type="spellStart"/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900302">
        <w:rPr>
          <w:rFonts w:eastAsia="Batang"/>
          <w:snapToGrid w:val="0"/>
          <w:kern w:val="2"/>
          <w:sz w:val="22"/>
          <w:szCs w:val="22"/>
          <w:lang w:eastAsia="ko-KR"/>
        </w:rPr>
        <w:t xml:space="preserve">deployed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within a NR carrier and discuss the aspects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>or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facilitating </w:t>
      </w:r>
      <w:r w:rsidR="00900302">
        <w:rPr>
          <w:rFonts w:eastAsia="Batang"/>
          <w:snapToGrid w:val="0"/>
          <w:kern w:val="2"/>
          <w:sz w:val="22"/>
          <w:szCs w:val="22"/>
          <w:lang w:eastAsia="ko-KR"/>
        </w:rPr>
        <w:t>efficient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coexistence with NR. </w:t>
      </w:r>
    </w:p>
    <w:p w14:paraId="6085A115" w14:textId="12DA86FC" w:rsidR="004000E8" w:rsidRDefault="00230D18" w:rsidP="00CE0424">
      <w:pPr>
        <w:pStyle w:val="Heading1"/>
      </w:pPr>
      <w:r>
        <w:t>2</w:t>
      </w:r>
      <w:r>
        <w:tab/>
      </w:r>
      <w:bookmarkEnd w:id="2"/>
      <w:r w:rsidR="00FA0631">
        <w:t>Discussion</w:t>
      </w:r>
    </w:p>
    <w:p w14:paraId="3FF8981C" w14:textId="365883C0" w:rsidR="00CA03EB" w:rsidRDefault="00CA03EB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An</w:t>
      </w:r>
      <w:r w:rsidR="00192251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important </w:t>
      </w:r>
      <w:r w:rsidR="00192251">
        <w:rPr>
          <w:rFonts w:eastAsia="Batang"/>
          <w:snapToGrid w:val="0"/>
          <w:kern w:val="2"/>
          <w:sz w:val="22"/>
          <w:szCs w:val="22"/>
          <w:lang w:eastAsia="ko-KR"/>
        </w:rPr>
        <w:t>requirement</w:t>
      </w:r>
      <w:r w:rsidR="00192251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for NR is to ensure good </w:t>
      </w:r>
      <w:r w:rsidR="00192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co-existence with LTE since NR and </w:t>
      </w:r>
      <w:r w:rsidR="00192251" w:rsidRPr="00192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may be deployed with frequency-overlapping carriers as well as frequency adjacent non-overlapping carriers. </w:t>
      </w:r>
      <w:r w:rsidR="002D4118">
        <w:rPr>
          <w:rFonts w:eastAsia="Batang"/>
          <w:snapToGrid w:val="0"/>
          <w:kern w:val="2"/>
          <w:sz w:val="22"/>
          <w:szCs w:val="22"/>
          <w:lang w:eastAsia="ko-KR"/>
        </w:rPr>
        <w:t xml:space="preserve">It is noted that LTE shall include also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</w:t>
      </w:r>
      <w:r w:rsidR="002D4118">
        <w:rPr>
          <w:rFonts w:eastAsia="Batang"/>
          <w:snapToGrid w:val="0"/>
          <w:kern w:val="2"/>
          <w:sz w:val="22"/>
          <w:szCs w:val="22"/>
          <w:lang w:eastAsia="ko-KR"/>
        </w:rPr>
        <w:t>NB-IoT. As agreed in RAN#79,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2D4118">
        <w:rPr>
          <w:rFonts w:eastAsia="Batang"/>
          <w:snapToGrid w:val="0"/>
          <w:kern w:val="2"/>
          <w:sz w:val="22"/>
          <w:szCs w:val="22"/>
          <w:lang w:eastAsia="ko-KR"/>
        </w:rPr>
        <w:t>the LP</w:t>
      </w:r>
      <w:r w:rsidR="00083055">
        <w:rPr>
          <w:rFonts w:eastAsia="Batang"/>
          <w:snapToGrid w:val="0"/>
          <w:kern w:val="2"/>
          <w:sz w:val="22"/>
          <w:szCs w:val="22"/>
          <w:lang w:eastAsia="ko-KR"/>
        </w:rPr>
        <w:t>W</w:t>
      </w:r>
      <w:r w:rsidR="002D4118">
        <w:rPr>
          <w:rFonts w:eastAsia="Batang"/>
          <w:snapToGrid w:val="0"/>
          <w:kern w:val="2"/>
          <w:sz w:val="22"/>
          <w:szCs w:val="22"/>
          <w:lang w:eastAsia="ko-KR"/>
        </w:rPr>
        <w:t>A user case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 w:rsidR="002D4118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will continue to be addressed by </w:t>
      </w:r>
      <w:r w:rsidR="0059599A"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NB-IoT, </w:t>
      </w:r>
      <w:r w:rsidR="0059599A">
        <w:rPr>
          <w:rFonts w:eastAsia="Batang"/>
          <w:snapToGrid w:val="0"/>
          <w:kern w:val="2"/>
          <w:sz w:val="22"/>
          <w:szCs w:val="22"/>
          <w:lang w:eastAsia="ko-KR"/>
        </w:rPr>
        <w:t xml:space="preserve">supporting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a smooth migration path for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/NB-IoT </w:t>
      </w:r>
      <w:r w:rsidRPr="00192251">
        <w:rPr>
          <w:rFonts w:eastAsia="Batang"/>
          <w:snapToGrid w:val="0"/>
          <w:kern w:val="2"/>
          <w:sz w:val="22"/>
          <w:szCs w:val="22"/>
          <w:lang w:eastAsia="ko-KR"/>
        </w:rPr>
        <w:t>by joint deployment with NR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This would allow the operator </w:t>
      </w:r>
      <w:r w:rsidRPr="00192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to update the existing </w:t>
      </w:r>
      <w:proofErr w:type="spellStart"/>
      <w:r w:rsidRPr="00192251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Pr="00192251">
        <w:rPr>
          <w:rFonts w:eastAsia="Batang"/>
          <w:snapToGrid w:val="0"/>
          <w:kern w:val="2"/>
          <w:sz w:val="22"/>
          <w:szCs w:val="22"/>
          <w:lang w:eastAsia="ko-KR"/>
        </w:rPr>
        <w:t>/NB-IoT enabled network to NR while continuing serving the deployed IoT devices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5A16659F" w14:textId="6643021F" w:rsidR="00CA03EB" w:rsidRDefault="00CA03EB" w:rsidP="001B7F7F">
      <w:pPr>
        <w:widowControl w:val="0"/>
        <w:wordWrap w:val="0"/>
        <w:spacing w:after="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03807ACE" w14:textId="22861D8A" w:rsidR="00313E12" w:rsidRPr="0068319D" w:rsidRDefault="00313E12" w:rsidP="00313E12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</w:t>
      </w:r>
      <w:r w:rsidR="00D676AC">
        <w:rPr>
          <w:sz w:val="22"/>
          <w:szCs w:val="22"/>
        </w:rPr>
        <w:t xml:space="preserve">efficient coexistence between NR and </w:t>
      </w:r>
      <w:proofErr w:type="spellStart"/>
      <w:r w:rsidR="00D676AC">
        <w:rPr>
          <w:sz w:val="22"/>
          <w:szCs w:val="22"/>
        </w:rPr>
        <w:t>eMTC</w:t>
      </w:r>
      <w:proofErr w:type="spellEnd"/>
      <w:r w:rsidR="00D676AC">
        <w:rPr>
          <w:sz w:val="22"/>
          <w:szCs w:val="22"/>
        </w:rPr>
        <w:t xml:space="preserve">/NB-IoT </w:t>
      </w:r>
      <w:r w:rsidR="001D6CFA">
        <w:rPr>
          <w:sz w:val="22"/>
          <w:szCs w:val="22"/>
        </w:rPr>
        <w:t xml:space="preserve">is required for </w:t>
      </w:r>
      <w:r w:rsidR="00D676AC">
        <w:rPr>
          <w:sz w:val="22"/>
          <w:szCs w:val="22"/>
        </w:rPr>
        <w:t>support</w:t>
      </w:r>
      <w:r w:rsidR="001D6CFA">
        <w:rPr>
          <w:sz w:val="22"/>
          <w:szCs w:val="22"/>
        </w:rPr>
        <w:t>ing</w:t>
      </w:r>
      <w:r w:rsidR="00D676AC">
        <w:rPr>
          <w:sz w:val="22"/>
          <w:szCs w:val="22"/>
        </w:rPr>
        <w:t xml:space="preserve"> </w:t>
      </w:r>
      <w:r w:rsidR="001D6CFA">
        <w:rPr>
          <w:kern w:val="2"/>
          <w:sz w:val="22"/>
          <w:szCs w:val="22"/>
        </w:rPr>
        <w:t>flexible spectrum utilization and facilitating smooth network migration to NR</w:t>
      </w:r>
      <w:r>
        <w:rPr>
          <w:sz w:val="22"/>
          <w:szCs w:val="22"/>
        </w:rPr>
        <w:t xml:space="preserve">. </w:t>
      </w:r>
    </w:p>
    <w:p w14:paraId="2F81169E" w14:textId="1C4350BD" w:rsidR="00F812E2" w:rsidRDefault="0059599A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As discussed in [2] for </w:t>
      </w:r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 xml:space="preserve">NB-IoT </w:t>
      </w:r>
      <w:proofErr w:type="spellStart"/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 xml:space="preserve"> operation within NR, </w:t>
      </w:r>
      <w:r w:rsidR="00C93F1E">
        <w:rPr>
          <w:rFonts w:eastAsia="Batang"/>
          <w:snapToGrid w:val="0"/>
          <w:kern w:val="2"/>
          <w:sz w:val="22"/>
          <w:szCs w:val="22"/>
          <w:lang w:eastAsia="ko-KR"/>
        </w:rPr>
        <w:t>b</w:t>
      </w:r>
      <w:r w:rsidR="00C93F1E" w:rsidRPr="00FA761F">
        <w:rPr>
          <w:rFonts w:eastAsia="Batang"/>
          <w:snapToGrid w:val="0"/>
          <w:kern w:val="2"/>
          <w:sz w:val="22"/>
          <w:szCs w:val="22"/>
          <w:lang w:eastAsia="ko-KR"/>
        </w:rPr>
        <w:t>oth time domain coexistence and frequency domain coexistence shall be considered</w:t>
      </w:r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coexistence of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</w:t>
      </w:r>
      <w:proofErr w:type="spellStart"/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</w:t>
      </w:r>
      <w:r w:rsidR="00C93F1E" w:rsidRPr="00FA761F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1B7F7F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The minimum system bandwidth of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</w:t>
      </w:r>
      <w:proofErr w:type="spellStart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>e</w:t>
      </w:r>
      <w:r w:rsidR="001B7F7F">
        <w:rPr>
          <w:rFonts w:eastAsia="Batang" w:hint="eastAsia"/>
          <w:snapToGrid w:val="0"/>
          <w:kern w:val="2"/>
          <w:sz w:val="22"/>
          <w:szCs w:val="22"/>
          <w:lang w:eastAsia="ko-KR"/>
        </w:rPr>
        <w:t>MTC</w:t>
      </w:r>
      <w:proofErr w:type="spellEnd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 xml:space="preserve"> is 6 PRBs or 1.08MHz. A straightforward way for enabling </w:t>
      </w:r>
      <w:proofErr w:type="spellStart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 xml:space="preserve"> operation of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</w:t>
      </w:r>
      <w:proofErr w:type="spellStart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 xml:space="preserve"> on a NR carrier is to assign a clean 1.08MHz radio resource for </w:t>
      </w:r>
      <w:proofErr w:type="spellStart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collision with NR common signals can be avoided by assigning the non-overlapping frequency domain </w:t>
      </w:r>
      <w:r w:rsidR="00C86030">
        <w:rPr>
          <w:rFonts w:eastAsia="Batang"/>
          <w:snapToGrid w:val="0"/>
          <w:kern w:val="2"/>
          <w:sz w:val="22"/>
          <w:szCs w:val="22"/>
          <w:lang w:eastAsia="ko-KR"/>
        </w:rPr>
        <w:t>resource</w:t>
      </w:r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 xml:space="preserve"> to </w:t>
      </w:r>
      <w:proofErr w:type="spellStart"/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62C47775" w14:textId="77777777" w:rsidR="00F812E2" w:rsidRDefault="00F812E2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5F164955" w14:textId="110033E6" w:rsidR="00F812E2" w:rsidRDefault="00347712" w:rsidP="00F812E2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However, certain network may prefer to configure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5MHz system bandwidth since the 5MHz configuration gives a higher spectrum efficiency than the 1.4MHz. In such case, </w:t>
      </w:r>
      <w:r w:rsidR="00F74F76">
        <w:rPr>
          <w:rFonts w:eastAsia="Batang"/>
          <w:snapToGrid w:val="0"/>
          <w:kern w:val="2"/>
          <w:sz w:val="22"/>
          <w:szCs w:val="22"/>
          <w:lang w:eastAsia="ko-KR"/>
        </w:rPr>
        <w:t xml:space="preserve">a continuous </w:t>
      </w:r>
      <w:r w:rsidR="00C86030">
        <w:rPr>
          <w:rFonts w:eastAsia="Batang"/>
          <w:snapToGrid w:val="0"/>
          <w:kern w:val="2"/>
          <w:sz w:val="22"/>
          <w:szCs w:val="22"/>
          <w:lang w:eastAsia="ko-KR"/>
        </w:rPr>
        <w:t>5MHz shall be leaved as unused in the NR carrier bandwidth.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>T</w:t>
      </w:r>
      <w:r w:rsidR="009E58E4">
        <w:rPr>
          <w:rFonts w:eastAsia="Batang"/>
          <w:snapToGrid w:val="0"/>
          <w:kern w:val="2"/>
          <w:sz w:val="22"/>
          <w:szCs w:val="22"/>
          <w:lang w:eastAsia="ko-KR"/>
        </w:rPr>
        <w:t xml:space="preserve">o improve spectrum utilization, </w:t>
      </w:r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 xml:space="preserve">not all the subframes are required to be used for </w:t>
      </w:r>
      <w:proofErr w:type="spellStart"/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Some downlink or uplink subframes can be indicated as invalid for </w:t>
      </w:r>
      <w:proofErr w:type="spellStart"/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The configuration of the valid subframes (or the BL/CE subframes) can be signalled via SIB1 according to Rel-13 </w:t>
      </w:r>
      <w:proofErr w:type="spellStart"/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333EB6">
        <w:rPr>
          <w:rFonts w:eastAsia="Batang"/>
          <w:snapToGrid w:val="0"/>
          <w:kern w:val="2"/>
          <w:sz w:val="22"/>
          <w:szCs w:val="22"/>
          <w:lang w:eastAsia="ko-KR"/>
        </w:rPr>
        <w:t xml:space="preserve">Figure 1 below shows the approaches using FDM/TDM for coexistence of </w:t>
      </w:r>
      <w:proofErr w:type="spellStart"/>
      <w:r w:rsidR="00333EB6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333EB6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NR. </w:t>
      </w:r>
    </w:p>
    <w:p w14:paraId="339DCF39" w14:textId="3F20C33C" w:rsidR="00F812E2" w:rsidRPr="00333EB6" w:rsidRDefault="00F812E2" w:rsidP="00347712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66EEA378" w14:textId="4C98DA54" w:rsidR="00F812E2" w:rsidRPr="00F812E2" w:rsidRDefault="00F812E2" w:rsidP="00F812E2">
      <w:pPr>
        <w:widowControl w:val="0"/>
        <w:spacing w:after="12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812E2">
        <w:rPr>
          <w:rFonts w:hint="eastAsia"/>
          <w:noProof/>
        </w:rPr>
        <w:lastRenderedPageBreak/>
        <w:drawing>
          <wp:inline distT="0" distB="0" distL="0" distR="0" wp14:anchorId="1CEF0E2C" wp14:editId="1942F351">
            <wp:extent cx="4999096" cy="313508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031" cy="3137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CBE97" w14:textId="665E2139" w:rsidR="00F812E2" w:rsidRPr="00697A4E" w:rsidRDefault="00F812E2" w:rsidP="00F812E2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>
        <w:rPr>
          <w:kern w:val="2"/>
          <w:sz w:val="22"/>
          <w:szCs w:val="22"/>
        </w:rPr>
        <w:t>1</w:t>
      </w:r>
      <w:r w:rsidRPr="00080046">
        <w:rPr>
          <w:b w:val="0"/>
          <w:kern w:val="2"/>
          <w:sz w:val="22"/>
          <w:szCs w:val="22"/>
        </w:rPr>
        <w:t xml:space="preserve">: </w:t>
      </w:r>
      <w:r>
        <w:rPr>
          <w:b w:val="0"/>
          <w:kern w:val="2"/>
          <w:sz w:val="22"/>
          <w:szCs w:val="22"/>
        </w:rPr>
        <w:t xml:space="preserve">Coexistence </w:t>
      </w:r>
      <w:r w:rsidR="00333EB6">
        <w:rPr>
          <w:b w:val="0"/>
          <w:kern w:val="2"/>
          <w:sz w:val="22"/>
          <w:szCs w:val="22"/>
        </w:rPr>
        <w:t xml:space="preserve">of </w:t>
      </w:r>
      <w:proofErr w:type="spellStart"/>
      <w:r>
        <w:rPr>
          <w:b w:val="0"/>
          <w:kern w:val="2"/>
          <w:sz w:val="22"/>
          <w:szCs w:val="22"/>
        </w:rPr>
        <w:t>eMTC</w:t>
      </w:r>
      <w:proofErr w:type="spellEnd"/>
      <w:r w:rsidR="00333EB6">
        <w:rPr>
          <w:b w:val="0"/>
          <w:kern w:val="2"/>
          <w:sz w:val="22"/>
          <w:szCs w:val="22"/>
        </w:rPr>
        <w:t xml:space="preserve"> with </w:t>
      </w:r>
      <w:r>
        <w:rPr>
          <w:b w:val="0"/>
          <w:kern w:val="2"/>
          <w:sz w:val="22"/>
          <w:szCs w:val="22"/>
        </w:rPr>
        <w:t>NR vis semi-static resource partition</w:t>
      </w:r>
    </w:p>
    <w:p w14:paraId="3D273975" w14:textId="1EDB5118" w:rsidR="00333EB6" w:rsidRDefault="00333EB6" w:rsidP="00333EB6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Coexistence between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and NR can be enabled by allocating one or more 1.08MHz narrowband resources of a NR carrier for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or assigning one or more subframes for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. </w:t>
      </w:r>
    </w:p>
    <w:p w14:paraId="06178890" w14:textId="77777777" w:rsidR="0059599A" w:rsidRDefault="0059599A" w:rsidP="0059599A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coexistence with NR, both 1.4MHz bandwidth and a larger bandwidth of at least 5MHz shall be supported for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.  </w:t>
      </w:r>
    </w:p>
    <w:p w14:paraId="23F19616" w14:textId="77777777" w:rsidR="0059599A" w:rsidRPr="0059599A" w:rsidRDefault="0059599A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458EC8BB" w14:textId="511AC6F9" w:rsidR="00D54462" w:rsidRDefault="00F77BBD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improving resource utilization, dynamic resource multiplexing shall also be supported so that NR can utilize the unused DL and UL resources reserved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</w:t>
      </w:r>
      <w:proofErr w:type="spellStart"/>
      <w:r w:rsidR="00A81818" w:rsidRPr="00D5446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A81818" w:rsidRPr="00D54462">
        <w:rPr>
          <w:rFonts w:eastAsia="Batang"/>
          <w:snapToGrid w:val="0"/>
          <w:kern w:val="2"/>
          <w:sz w:val="22"/>
          <w:szCs w:val="22"/>
          <w:lang w:eastAsia="ko-KR"/>
        </w:rPr>
        <w:t>/NB-IoT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. In Rel-15, dynamic r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>ate matching resource set is supported in NR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so that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DCI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>can dynamically indicate whether the reserved resources shall be excluded from the PDSCH allocation. I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f the reserved resources are not used for </w:t>
      </w:r>
      <w:proofErr w:type="spellStart"/>
      <w:r w:rsidR="00A81818" w:rsidRPr="00D5446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A81818" w:rsidRPr="00D54462">
        <w:rPr>
          <w:rFonts w:eastAsia="Batang"/>
          <w:snapToGrid w:val="0"/>
          <w:kern w:val="2"/>
          <w:sz w:val="22"/>
          <w:szCs w:val="22"/>
          <w:lang w:eastAsia="ko-KR"/>
        </w:rPr>
        <w:t>/NB-IoT</w:t>
      </w:r>
      <w:r w:rsidR="00A81818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>the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 slot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which </w:t>
      </w:r>
      <w:r w:rsidR="0059599A">
        <w:rPr>
          <w:rFonts w:eastAsia="Batang"/>
          <w:snapToGrid w:val="0"/>
          <w:kern w:val="2"/>
          <w:sz w:val="22"/>
          <w:szCs w:val="22"/>
          <w:lang w:eastAsia="ko-KR"/>
        </w:rPr>
        <w:t xml:space="preserve">NR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>PDSCH is mapped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, then these resources can be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>t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emporarily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used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NR PDSCH by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setting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value of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rate matching indicator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to zero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Since the rate matching resource set in NR is defined by a pair of RB level bitmap with 1 RB granularity and a symbol level bitmap spanning one or two NR slots, it is possible to support dynamic resource multiplexing between NR and </w:t>
      </w:r>
      <w:proofErr w:type="spellStart"/>
      <w:r w:rsidR="00A81818" w:rsidRPr="00D5446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A81818" w:rsidRPr="00D54462">
        <w:rPr>
          <w:rFonts w:eastAsia="Batang"/>
          <w:snapToGrid w:val="0"/>
          <w:kern w:val="2"/>
          <w:sz w:val="22"/>
          <w:szCs w:val="22"/>
          <w:lang w:eastAsia="ko-KR"/>
        </w:rPr>
        <w:t>/NB-IoT</w:t>
      </w:r>
      <w:r w:rsidR="00A81818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on the subframe</w:t>
      </w:r>
      <w:r w:rsidR="0059599A">
        <w:rPr>
          <w:rFonts w:eastAsia="Batang"/>
          <w:snapToGrid w:val="0"/>
          <w:kern w:val="2"/>
          <w:sz w:val="22"/>
          <w:szCs w:val="22"/>
          <w:lang w:eastAsia="ko-KR"/>
        </w:rPr>
        <w:t xml:space="preserve"> or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RB level. However, it shall be noted that 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rate matching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based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resource multiplexing is 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mainly from NR perspective since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a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n </w:t>
      </w:r>
      <w:proofErr w:type="spellStart"/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>/NB-IoT UE is unware whether it is operating in an NR carrier or a LTE carrier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</w:p>
    <w:p w14:paraId="4D7F03A2" w14:textId="5E23AF13" w:rsidR="00DE6862" w:rsidRDefault="00DE6862" w:rsidP="002037A4">
      <w:pPr>
        <w:widowControl w:val="0"/>
        <w:wordWrap w:val="0"/>
        <w:spacing w:after="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19D0810F" w14:textId="7F7F13E5" w:rsidR="00D54462" w:rsidRDefault="00D54462" w:rsidP="00D54462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proofErr w:type="spellStart"/>
      <w:r w:rsidRPr="00FA761F">
        <w:rPr>
          <w:rFonts w:hint="eastAsia"/>
          <w:kern w:val="2"/>
          <w:sz w:val="22"/>
          <w:szCs w:val="22"/>
        </w:rPr>
        <w:t>inband</w:t>
      </w:r>
      <w:proofErr w:type="spellEnd"/>
      <w:r w:rsidRPr="00FA761F">
        <w:rPr>
          <w:rFonts w:hint="eastAsia"/>
          <w:kern w:val="2"/>
          <w:sz w:val="22"/>
          <w:szCs w:val="22"/>
        </w:rPr>
        <w:t xml:space="preserve"> deployment</w:t>
      </w:r>
      <w:r w:rsidRPr="00FA761F">
        <w:rPr>
          <w:kern w:val="2"/>
          <w:sz w:val="22"/>
          <w:szCs w:val="22"/>
        </w:rPr>
        <w:t xml:space="preserve"> </w:t>
      </w:r>
      <w:r>
        <w:rPr>
          <w:kern w:val="2"/>
          <w:sz w:val="22"/>
          <w:szCs w:val="22"/>
        </w:rPr>
        <w:t>with NR, d</w:t>
      </w:r>
      <w:r>
        <w:rPr>
          <w:sz w:val="22"/>
          <w:szCs w:val="22"/>
        </w:rPr>
        <w:t xml:space="preserve">ynamic resource multiplexing </w:t>
      </w:r>
      <w:r w:rsidR="00D70689">
        <w:rPr>
          <w:sz w:val="22"/>
          <w:szCs w:val="22"/>
        </w:rPr>
        <w:t xml:space="preserve">between NR and </w:t>
      </w:r>
      <w:proofErr w:type="spellStart"/>
      <w:r w:rsidR="00A81818">
        <w:rPr>
          <w:sz w:val="22"/>
          <w:szCs w:val="22"/>
        </w:rPr>
        <w:t>eMTC</w:t>
      </w:r>
      <w:proofErr w:type="spellEnd"/>
      <w:r w:rsidR="00D70689">
        <w:rPr>
          <w:sz w:val="22"/>
          <w:szCs w:val="22"/>
        </w:rPr>
        <w:t xml:space="preserve"> </w:t>
      </w:r>
      <w:r w:rsidR="00144EF9">
        <w:rPr>
          <w:sz w:val="22"/>
          <w:szCs w:val="22"/>
        </w:rPr>
        <w:t xml:space="preserve">can be supported by using dynamic rate matching </w:t>
      </w:r>
      <w:r w:rsidR="0059599A">
        <w:rPr>
          <w:sz w:val="22"/>
          <w:szCs w:val="22"/>
        </w:rPr>
        <w:t>design</w:t>
      </w:r>
      <w:r w:rsidR="00144EF9">
        <w:rPr>
          <w:sz w:val="22"/>
          <w:szCs w:val="22"/>
        </w:rPr>
        <w:t xml:space="preserve"> in NR.</w:t>
      </w:r>
      <w:r>
        <w:rPr>
          <w:sz w:val="22"/>
          <w:szCs w:val="22"/>
        </w:rPr>
        <w:t xml:space="preserve"> </w:t>
      </w:r>
    </w:p>
    <w:p w14:paraId="1A00552E" w14:textId="77777777" w:rsidR="00D54462" w:rsidRPr="00A81818" w:rsidRDefault="00D54462" w:rsidP="005B41F1">
      <w:pPr>
        <w:widowControl w:val="0"/>
        <w:wordWrap w:val="0"/>
        <w:spacing w:after="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11B0EAB5" w14:textId="770E9444" w:rsidR="00F77BBD" w:rsidRDefault="00144EF9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>In NR, a mixture of numerology may be supported, e.g.,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using 15kHz subcarrier spacing for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eMBB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30kHz subcarrier spacing for URLLC. Different numerology may be configured at different bandwidth parts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 in frequency domain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In case of URLLC, for enabling fast HARQ-ACK feedback, a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few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number of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OFDM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symbols at the end of a slot may be used for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>UL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control as shown in Figure </w:t>
      </w:r>
      <w:r w:rsidR="00B04628">
        <w:rPr>
          <w:rFonts w:eastAsia="Batang"/>
          <w:snapToGrid w:val="0"/>
          <w:kern w:val="2"/>
          <w:sz w:val="22"/>
          <w:szCs w:val="22"/>
          <w:lang w:eastAsia="ko-KR"/>
        </w:rPr>
        <w:t>2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That is, DL transmission is only allowed in the part of subframe instead of the full subframe. </w:t>
      </w:r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>For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 coexistence with </w:t>
      </w:r>
      <w:proofErr w:type="spellStart"/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>/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NB-IoT, these slots/subframes with 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a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mixed UL/DL cannot be used for </w:t>
      </w:r>
      <w:proofErr w:type="spellStart"/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>/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NB-IoT if they are not </w:t>
      </w:r>
      <w:r w:rsidR="002C14BD">
        <w:rPr>
          <w:rFonts w:eastAsia="Batang"/>
          <w:snapToGrid w:val="0"/>
          <w:kern w:val="2"/>
          <w:sz w:val="22"/>
          <w:szCs w:val="22"/>
          <w:lang w:eastAsia="ko-KR"/>
        </w:rPr>
        <w:t>overlapping with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2C14BD">
        <w:rPr>
          <w:rFonts w:eastAsia="Batang"/>
          <w:snapToGrid w:val="0"/>
          <w:kern w:val="2"/>
          <w:sz w:val="22"/>
          <w:szCs w:val="22"/>
          <w:lang w:eastAsia="ko-KR"/>
        </w:rPr>
        <w:t xml:space="preserve">a </w:t>
      </w:r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>special subframe</w:t>
      </w:r>
      <w:r w:rsidR="002C14BD">
        <w:rPr>
          <w:rFonts w:eastAsia="Batang"/>
          <w:snapToGrid w:val="0"/>
          <w:kern w:val="2"/>
          <w:sz w:val="22"/>
          <w:szCs w:val="22"/>
          <w:lang w:eastAsia="ko-KR"/>
        </w:rPr>
        <w:t xml:space="preserve">. This is because </w:t>
      </w:r>
      <w:proofErr w:type="spellStart"/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>/</w:t>
      </w:r>
      <w:r w:rsidR="002C14BD">
        <w:rPr>
          <w:rFonts w:eastAsia="Batang"/>
          <w:snapToGrid w:val="0"/>
          <w:kern w:val="2"/>
          <w:sz w:val="22"/>
          <w:szCs w:val="22"/>
          <w:lang w:eastAsia="ko-KR"/>
        </w:rPr>
        <w:t>NB-IoT reuses LTE TDD UL/DL configuration and assumes a subframe rather than special subframe as either full DL or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2C14BD">
        <w:rPr>
          <w:rFonts w:eastAsia="Batang"/>
          <w:snapToGrid w:val="0"/>
          <w:kern w:val="2"/>
          <w:sz w:val="22"/>
          <w:szCs w:val="22"/>
          <w:lang w:eastAsia="ko-KR"/>
        </w:rPr>
        <w:t xml:space="preserve">full UL. 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>Although t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his restriction 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would not break the </w:t>
      </w:r>
      <w:proofErr w:type="spellStart"/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 operation of </w:t>
      </w:r>
      <w:proofErr w:type="spellStart"/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>/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NB-IoT with NR, it 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would impose some 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unnecessary 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restrictions. That is,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the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 subframe reserved for </w:t>
      </w:r>
      <w:proofErr w:type="spellStart"/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>/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NB-IoT s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>hall be configured as either full DL or full UL transmission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 in NR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. If there are more subframes reserved for </w:t>
      </w:r>
      <w:proofErr w:type="spellStart"/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>/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NB-IoT then there is less probability to serve URLLC on the 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lastRenderedPageBreak/>
        <w:t>same NR carrier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</w:p>
    <w:p w14:paraId="3D1FF1E4" w14:textId="77777777" w:rsidR="00144EF9" w:rsidRPr="0039468F" w:rsidRDefault="00144EF9" w:rsidP="005B41F1">
      <w:pPr>
        <w:widowControl w:val="0"/>
        <w:wordWrap w:val="0"/>
        <w:spacing w:after="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45874C89" w14:textId="1018A242" w:rsidR="00144EF9" w:rsidRDefault="00D70689" w:rsidP="002037A4">
      <w:pPr>
        <w:widowControl w:val="0"/>
        <w:spacing w:after="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D70689">
        <w:rPr>
          <w:noProof/>
        </w:rPr>
        <w:drawing>
          <wp:inline distT="0" distB="0" distL="0" distR="0" wp14:anchorId="769E21CE" wp14:editId="0772A8F0">
            <wp:extent cx="4882009" cy="1228971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060" cy="1235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01B65" w14:textId="055AFC1A" w:rsidR="00D70689" w:rsidRPr="00697A4E" w:rsidRDefault="00D70689" w:rsidP="00D70689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 w:rsidR="00B04628">
        <w:rPr>
          <w:kern w:val="2"/>
          <w:sz w:val="22"/>
          <w:szCs w:val="22"/>
        </w:rPr>
        <w:t>2</w:t>
      </w:r>
      <w:r w:rsidRPr="00080046">
        <w:rPr>
          <w:b w:val="0"/>
          <w:kern w:val="2"/>
          <w:sz w:val="22"/>
          <w:szCs w:val="22"/>
        </w:rPr>
        <w:t xml:space="preserve">: </w:t>
      </w:r>
      <w:r>
        <w:rPr>
          <w:b w:val="0"/>
          <w:kern w:val="2"/>
          <w:sz w:val="22"/>
          <w:szCs w:val="22"/>
        </w:rPr>
        <w:t>NR slot format with increasing UL opportunity assuming 30kHz SCS</w:t>
      </w:r>
    </w:p>
    <w:p w14:paraId="3C45151B" w14:textId="2567C4A3" w:rsidR="00D165E7" w:rsidRDefault="002C14BD" w:rsidP="002C14BD">
      <w:pPr>
        <w:pStyle w:val="LGTdoc1"/>
        <w:spacing w:beforeLines="0" w:before="120" w:after="220" w:afterAutospacing="0"/>
        <w:rPr>
          <w:kern w:val="2"/>
          <w:sz w:val="22"/>
          <w:szCs w:val="22"/>
        </w:rPr>
      </w:pPr>
      <w:r>
        <w:rPr>
          <w:sz w:val="22"/>
          <w:szCs w:val="22"/>
          <w:u w:val="single"/>
        </w:rPr>
        <w:t>Observation 4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proofErr w:type="spellStart"/>
      <w:r w:rsidRPr="00FA761F">
        <w:rPr>
          <w:rFonts w:hint="eastAsia"/>
          <w:kern w:val="2"/>
          <w:sz w:val="22"/>
          <w:szCs w:val="22"/>
        </w:rPr>
        <w:t>inband</w:t>
      </w:r>
      <w:proofErr w:type="spellEnd"/>
      <w:r w:rsidRPr="00FA761F">
        <w:rPr>
          <w:rFonts w:hint="eastAsia"/>
          <w:kern w:val="2"/>
          <w:sz w:val="22"/>
          <w:szCs w:val="22"/>
        </w:rPr>
        <w:t xml:space="preserve"> deployment</w:t>
      </w:r>
      <w:r w:rsidRPr="00FA761F">
        <w:rPr>
          <w:kern w:val="2"/>
          <w:sz w:val="22"/>
          <w:szCs w:val="22"/>
        </w:rPr>
        <w:t xml:space="preserve"> </w:t>
      </w:r>
      <w:r w:rsidRPr="00FA761F">
        <w:rPr>
          <w:rFonts w:hint="eastAsia"/>
          <w:kern w:val="2"/>
          <w:sz w:val="22"/>
          <w:szCs w:val="22"/>
        </w:rPr>
        <w:t xml:space="preserve">of </w:t>
      </w:r>
      <w:proofErr w:type="spellStart"/>
      <w:r w:rsidR="00E91742">
        <w:rPr>
          <w:kern w:val="2"/>
          <w:sz w:val="22"/>
          <w:szCs w:val="22"/>
        </w:rPr>
        <w:t>eMTC</w:t>
      </w:r>
      <w:proofErr w:type="spellEnd"/>
      <w:r>
        <w:rPr>
          <w:kern w:val="2"/>
          <w:sz w:val="22"/>
          <w:szCs w:val="22"/>
        </w:rPr>
        <w:t xml:space="preserve"> with NR, the </w:t>
      </w:r>
      <w:r w:rsidR="00B412EB">
        <w:rPr>
          <w:kern w:val="2"/>
          <w:sz w:val="22"/>
          <w:szCs w:val="22"/>
        </w:rPr>
        <w:t xml:space="preserve">restriction </w:t>
      </w:r>
      <w:r w:rsidR="00D165E7">
        <w:rPr>
          <w:kern w:val="2"/>
          <w:sz w:val="22"/>
          <w:szCs w:val="22"/>
        </w:rPr>
        <w:t>of</w:t>
      </w:r>
      <w:r w:rsidR="00B412EB">
        <w:rPr>
          <w:kern w:val="2"/>
          <w:sz w:val="22"/>
          <w:szCs w:val="22"/>
        </w:rPr>
        <w:t xml:space="preserve"> </w:t>
      </w:r>
      <w:r w:rsidR="00D165E7">
        <w:rPr>
          <w:kern w:val="2"/>
          <w:sz w:val="22"/>
          <w:szCs w:val="22"/>
        </w:rPr>
        <w:t xml:space="preserve">allocating </w:t>
      </w:r>
      <w:r w:rsidR="00B412EB">
        <w:rPr>
          <w:kern w:val="2"/>
          <w:sz w:val="22"/>
          <w:szCs w:val="22"/>
        </w:rPr>
        <w:t xml:space="preserve">a subframe </w:t>
      </w:r>
      <w:r w:rsidR="00D165E7">
        <w:rPr>
          <w:kern w:val="2"/>
          <w:sz w:val="22"/>
          <w:szCs w:val="22"/>
        </w:rPr>
        <w:t>of</w:t>
      </w:r>
      <w:r w:rsidR="00B412EB">
        <w:rPr>
          <w:kern w:val="2"/>
          <w:sz w:val="22"/>
          <w:szCs w:val="22"/>
        </w:rPr>
        <w:t xml:space="preserve"> </w:t>
      </w:r>
      <w:r w:rsidR="00D165E7">
        <w:rPr>
          <w:kern w:val="2"/>
          <w:sz w:val="22"/>
          <w:szCs w:val="22"/>
        </w:rPr>
        <w:t xml:space="preserve">either </w:t>
      </w:r>
      <w:r w:rsidR="00B412EB">
        <w:rPr>
          <w:kern w:val="2"/>
          <w:sz w:val="22"/>
          <w:szCs w:val="22"/>
        </w:rPr>
        <w:t xml:space="preserve">full DL or </w:t>
      </w:r>
      <w:r w:rsidR="00D165E7">
        <w:rPr>
          <w:kern w:val="2"/>
          <w:sz w:val="22"/>
          <w:szCs w:val="22"/>
        </w:rPr>
        <w:t xml:space="preserve">full </w:t>
      </w:r>
      <w:r w:rsidR="00B412EB">
        <w:rPr>
          <w:kern w:val="2"/>
          <w:sz w:val="22"/>
          <w:szCs w:val="22"/>
        </w:rPr>
        <w:t xml:space="preserve">UL </w:t>
      </w:r>
      <w:r w:rsidR="00E85600">
        <w:rPr>
          <w:kern w:val="2"/>
          <w:sz w:val="22"/>
          <w:szCs w:val="22"/>
        </w:rPr>
        <w:t xml:space="preserve">for </w:t>
      </w:r>
      <w:proofErr w:type="spellStart"/>
      <w:r w:rsidR="00E85600">
        <w:rPr>
          <w:kern w:val="2"/>
          <w:sz w:val="22"/>
          <w:szCs w:val="22"/>
        </w:rPr>
        <w:t>eMTC</w:t>
      </w:r>
      <w:proofErr w:type="spellEnd"/>
      <w:r w:rsidR="00E85600">
        <w:rPr>
          <w:kern w:val="2"/>
          <w:sz w:val="22"/>
          <w:szCs w:val="22"/>
        </w:rPr>
        <w:t xml:space="preserve"> </w:t>
      </w:r>
      <w:r w:rsidR="00D165E7">
        <w:rPr>
          <w:kern w:val="2"/>
          <w:sz w:val="22"/>
          <w:szCs w:val="22"/>
        </w:rPr>
        <w:t xml:space="preserve">would limit the scheduler flexibility of NR for supporting different numerologies and </w:t>
      </w:r>
      <w:r w:rsidR="0039468F">
        <w:rPr>
          <w:kern w:val="2"/>
          <w:sz w:val="22"/>
          <w:szCs w:val="22"/>
        </w:rPr>
        <w:t>URLLC</w:t>
      </w:r>
    </w:p>
    <w:p w14:paraId="41478154" w14:textId="6640462F" w:rsidR="00D165E7" w:rsidRDefault="00D165E7" w:rsidP="00D165E7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 xml:space="preserve">Proposal </w:t>
      </w:r>
      <w:r w:rsidR="00E85600">
        <w:rPr>
          <w:sz w:val="22"/>
          <w:szCs w:val="22"/>
          <w:u w:val="single"/>
        </w:rPr>
        <w:t>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RAN1 shall </w:t>
      </w:r>
      <w:r w:rsidR="002037A4">
        <w:rPr>
          <w:sz w:val="22"/>
          <w:szCs w:val="22"/>
        </w:rPr>
        <w:t>study</w:t>
      </w:r>
      <w:r>
        <w:rPr>
          <w:sz w:val="22"/>
          <w:szCs w:val="22"/>
        </w:rPr>
        <w:t xml:space="preserve"> possible enhancements to </w:t>
      </w:r>
      <w:proofErr w:type="spellStart"/>
      <w:r w:rsidR="00E85600"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for ensuring efficient coexistence with NR </w:t>
      </w:r>
      <w:r w:rsidR="0098459E">
        <w:rPr>
          <w:sz w:val="22"/>
          <w:szCs w:val="22"/>
        </w:rPr>
        <w:t>using</w:t>
      </w:r>
      <w:r>
        <w:rPr>
          <w:sz w:val="22"/>
          <w:szCs w:val="22"/>
        </w:rPr>
        <w:t xml:space="preserve"> flexible subframe/slot structures.  </w:t>
      </w:r>
    </w:p>
    <w:p w14:paraId="4C5DC371" w14:textId="43337EC5" w:rsidR="00B04628" w:rsidRDefault="00E85600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Another design challenge for coexistence with NR is to support frequency hopping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 in </w:t>
      </w:r>
      <w:proofErr w:type="spellStart"/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 xml:space="preserve">. In Rel-13 </w:t>
      </w:r>
      <w:proofErr w:type="spellStart"/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 xml:space="preserve">, frequency hopping is supported for system bandwidth larger than 1.4MHz. The frequency hopping 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configuration includes a hopping timer interval and a configurable narrowband offset. The enabling of frequency hopping </w:t>
      </w:r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 xml:space="preserve">can be 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separately configured </w:t>
      </w:r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broadcast and unicast transmission. 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frequency hopping pattern may be </w:t>
      </w:r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 xml:space="preserve">different for 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each </w:t>
      </w:r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>physical channel. For SIB1 and paging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 MPDCCH</w:t>
      </w:r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 xml:space="preserve">, </w:t>
      </w:r>
      <w:r w:rsidR="00B04628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first narrowband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is </w:t>
      </w:r>
      <w:r w:rsidR="00B04628">
        <w:rPr>
          <w:rFonts w:eastAsia="Batang"/>
          <w:snapToGrid w:val="0"/>
          <w:kern w:val="2"/>
          <w:sz w:val="22"/>
          <w:szCs w:val="22"/>
          <w:lang w:eastAsia="ko-KR"/>
        </w:rPr>
        <w:t>determined by cell ID and/or UE ID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and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two </w:t>
      </w:r>
      <w:proofErr w:type="spellStart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overlapping with the 72 </w:t>
      </w:r>
      <w:proofErr w:type="spellStart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center</w:t>
      </w:r>
      <w:proofErr w:type="spellEnd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subcarriers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are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excluded from frequency hopping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,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however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other DL transmission, all the </w:t>
      </w:r>
      <w:proofErr w:type="spellStart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can be used</w:t>
      </w:r>
      <w:r w:rsidR="00A21C3E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frequency hopping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, </w:t>
      </w:r>
      <w:r w:rsidR="00A21C3E">
        <w:rPr>
          <w:rFonts w:eastAsia="Batang"/>
          <w:snapToGrid w:val="0"/>
          <w:kern w:val="2"/>
          <w:sz w:val="22"/>
          <w:szCs w:val="22"/>
          <w:lang w:eastAsia="ko-KR"/>
        </w:rPr>
        <w:t xml:space="preserve">that is, </w:t>
      </w:r>
      <w:r w:rsidR="00B04628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first narrowband is determined by RRC or DCI and the other narrowband(s) are then determined based on a higher layer configured offset. </w:t>
      </w:r>
    </w:p>
    <w:p w14:paraId="0C376026" w14:textId="77777777" w:rsidR="00B04628" w:rsidRPr="00A21C3E" w:rsidRDefault="00B04628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3B76B3F4" w14:textId="38A5C208" w:rsidR="00C147DD" w:rsidRDefault="00B04628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Figure 3 shows an example of frequency hopping for SIB1, paging MPDCCH and PDSCH assuming 10MHz system bandwidth</w:t>
      </w:r>
      <w:r w:rsidR="00EA0473">
        <w:rPr>
          <w:rFonts w:eastAsia="Batang"/>
          <w:snapToGrid w:val="0"/>
          <w:kern w:val="2"/>
          <w:sz w:val="22"/>
          <w:szCs w:val="22"/>
          <w:lang w:eastAsia="ko-KR"/>
        </w:rPr>
        <w:t xml:space="preserve"> (e.g., total 8 </w:t>
      </w:r>
      <w:proofErr w:type="spellStart"/>
      <w:r w:rsidR="00EA0473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EA0473">
        <w:rPr>
          <w:rFonts w:eastAsia="Batang"/>
          <w:snapToGrid w:val="0"/>
          <w:kern w:val="2"/>
          <w:sz w:val="22"/>
          <w:szCs w:val="22"/>
          <w:lang w:eastAsia="ko-KR"/>
        </w:rPr>
        <w:t>)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  <w:r w:rsidR="00EA0473">
        <w:rPr>
          <w:rFonts w:eastAsia="Batang"/>
          <w:snapToGrid w:val="0"/>
          <w:kern w:val="2"/>
          <w:sz w:val="22"/>
          <w:szCs w:val="22"/>
          <w:lang w:eastAsia="ko-KR"/>
        </w:rPr>
        <w:t xml:space="preserve"> SIB1 is hopped between narrowband 0 and 5 at different subframes, and for paging MPDCCH, narrowband 0 and 6 are used for UE #1 and narrowband 1 and 7 are used for UE #2.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T</w:t>
      </w:r>
      <w:r w:rsidR="00EA0473">
        <w:rPr>
          <w:rFonts w:eastAsia="Batang"/>
          <w:snapToGrid w:val="0"/>
          <w:kern w:val="2"/>
          <w:sz w:val="22"/>
          <w:szCs w:val="22"/>
          <w:lang w:eastAsia="ko-KR"/>
        </w:rPr>
        <w:t xml:space="preserve">he PDSCH of UE #1 is hopped between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narrowband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0 and 4 every 4 subframes and the PDSCH of UE #2 is hopped between narrowband 1 and 5. </w:t>
      </w:r>
      <w:proofErr w:type="gramStart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It can be seen that even</w:t>
      </w:r>
      <w:proofErr w:type="gramEnd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same starting narrowband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is same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MPDCCH and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PDSCH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other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narrowband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of frequency hopping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is different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because the s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et of </w:t>
      </w:r>
      <w:proofErr w:type="spellStart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A21C3E">
        <w:rPr>
          <w:rFonts w:eastAsia="Batang"/>
          <w:snapToGrid w:val="0"/>
          <w:kern w:val="2"/>
          <w:sz w:val="22"/>
          <w:szCs w:val="22"/>
          <w:lang w:eastAsia="ko-KR"/>
        </w:rPr>
        <w:t xml:space="preserve">used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for frequency hopping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 is different for paging MPDCCH and PDSCH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687DAA86" w14:textId="77777777" w:rsidR="00B04628" w:rsidRPr="00A21C3E" w:rsidRDefault="00B04628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4CC8FB4A" w14:textId="306AAB5C" w:rsidR="00B04628" w:rsidRDefault="00B04628" w:rsidP="00B04628">
      <w:pPr>
        <w:widowControl w:val="0"/>
        <w:spacing w:after="12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B04628">
        <w:rPr>
          <w:noProof/>
        </w:rPr>
        <w:drawing>
          <wp:inline distT="0" distB="0" distL="0" distR="0" wp14:anchorId="7FBADAF2" wp14:editId="40BC0CD9">
            <wp:extent cx="6120765" cy="147327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473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C8464" w14:textId="25077810" w:rsidR="00B04628" w:rsidRPr="00697A4E" w:rsidRDefault="00B04628" w:rsidP="00B04628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>
        <w:rPr>
          <w:kern w:val="2"/>
          <w:sz w:val="22"/>
          <w:szCs w:val="22"/>
        </w:rPr>
        <w:t>3</w:t>
      </w:r>
      <w:r w:rsidRPr="00080046">
        <w:rPr>
          <w:b w:val="0"/>
          <w:kern w:val="2"/>
          <w:sz w:val="22"/>
          <w:szCs w:val="22"/>
        </w:rPr>
        <w:t xml:space="preserve">: </w:t>
      </w:r>
      <w:r>
        <w:rPr>
          <w:b w:val="0"/>
          <w:kern w:val="2"/>
          <w:sz w:val="22"/>
          <w:szCs w:val="22"/>
        </w:rPr>
        <w:t>Frequency hopping for SIB1, paging MPDCCH and PDSCH</w:t>
      </w:r>
    </w:p>
    <w:p w14:paraId="77EF9BFD" w14:textId="3916D704" w:rsidR="002037A4" w:rsidRDefault="00A21C3E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From the above example, it can be seen the support of frequency hopping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especially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paging will cause a waste of resources in NR. </w:t>
      </w:r>
      <w:r w:rsidR="00F37BC5">
        <w:rPr>
          <w:rFonts w:eastAsia="Batang"/>
          <w:snapToGrid w:val="0"/>
          <w:kern w:val="2"/>
          <w:sz w:val="22"/>
          <w:szCs w:val="22"/>
          <w:lang w:eastAsia="ko-KR"/>
        </w:rPr>
        <w:t xml:space="preserve">At least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three narrowband resources shall be reserved for paging MPDCCH and PDSCH. If multiple paging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are configured, then more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narrwobands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shall be reserved.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To improve resource utilization, it is preferred that t</w:t>
      </w:r>
      <w:r w:rsidR="00F37BC5">
        <w:rPr>
          <w:rFonts w:eastAsia="Batang"/>
          <w:snapToGrid w:val="0"/>
          <w:kern w:val="2"/>
          <w:sz w:val="22"/>
          <w:szCs w:val="22"/>
          <w:lang w:eastAsia="ko-KR"/>
        </w:rPr>
        <w:t xml:space="preserve">hese resources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can be configured a</w:t>
      </w:r>
      <w:r w:rsidR="00F37BC5">
        <w:rPr>
          <w:rFonts w:eastAsia="Batang"/>
          <w:snapToGrid w:val="0"/>
          <w:kern w:val="2"/>
          <w:sz w:val="22"/>
          <w:szCs w:val="22"/>
          <w:lang w:eastAsia="ko-KR"/>
        </w:rPr>
        <w:t xml:space="preserve">s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dynamic</w:t>
      </w:r>
      <w:r w:rsidR="00F37BC5">
        <w:rPr>
          <w:rFonts w:eastAsia="Batang"/>
          <w:snapToGrid w:val="0"/>
          <w:kern w:val="2"/>
          <w:sz w:val="22"/>
          <w:szCs w:val="22"/>
          <w:lang w:eastAsia="ko-KR"/>
        </w:rPr>
        <w:t xml:space="preserve"> rate matching resource sets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in NR</w:t>
      </w:r>
      <w:r w:rsidR="00F37BC5">
        <w:rPr>
          <w:rFonts w:eastAsia="Batang"/>
          <w:snapToGrid w:val="0"/>
          <w:kern w:val="2"/>
          <w:sz w:val="22"/>
          <w:szCs w:val="22"/>
          <w:lang w:eastAsia="ko-KR"/>
        </w:rPr>
        <w:t xml:space="preserve">. However,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this is not possible </w:t>
      </w:r>
      <w:r w:rsidR="00F37BC5">
        <w:rPr>
          <w:rFonts w:eastAsia="Batang"/>
          <w:snapToGrid w:val="0"/>
          <w:kern w:val="2"/>
          <w:sz w:val="22"/>
          <w:szCs w:val="22"/>
          <w:lang w:eastAsia="ko-KR"/>
        </w:rPr>
        <w:t xml:space="preserve">since the dynamic rate matching indicator in NR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cannot be </w:t>
      </w:r>
      <w:r w:rsidR="000B4C0A">
        <w:rPr>
          <w:rFonts w:eastAsia="Batang"/>
          <w:snapToGrid w:val="0"/>
          <w:kern w:val="2"/>
          <w:sz w:val="22"/>
          <w:szCs w:val="22"/>
          <w:lang w:eastAsia="ko-KR"/>
        </w:rPr>
        <w:t xml:space="preserve">based on </w:t>
      </w:r>
      <w:r w:rsidR="00F37BC5">
        <w:rPr>
          <w:rFonts w:eastAsia="Batang"/>
          <w:snapToGrid w:val="0"/>
          <w:kern w:val="2"/>
          <w:sz w:val="22"/>
          <w:szCs w:val="22"/>
          <w:lang w:eastAsia="ko-KR"/>
        </w:rPr>
        <w:t>the bitma</w:t>
      </w:r>
      <w:r w:rsidR="002801E1">
        <w:rPr>
          <w:rFonts w:eastAsia="Batang"/>
          <w:snapToGrid w:val="0"/>
          <w:kern w:val="2"/>
          <w:sz w:val="22"/>
          <w:szCs w:val="22"/>
          <w:lang w:eastAsia="ko-KR"/>
        </w:rPr>
        <w:t>p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 of the </w:t>
      </w:r>
      <w:proofErr w:type="spellStart"/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 narrowband</w:t>
      </w:r>
      <w:r w:rsidR="00F37BC5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</w:p>
    <w:p w14:paraId="6310B219" w14:textId="77777777" w:rsidR="00A21C3E" w:rsidRPr="00F37BC5" w:rsidRDefault="00A21C3E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00A0E084" w14:textId="77777777" w:rsidR="00B3486E" w:rsidRDefault="00B3486E" w:rsidP="00B3486E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RAN1 shall discuss whether to support frequency hopping for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within a NR carrier and study possible enhancements to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 </w:t>
      </w:r>
    </w:p>
    <w:p w14:paraId="527BA53C" w14:textId="706DDE5A" w:rsidR="002037A4" w:rsidRDefault="001F22E5" w:rsidP="002037A4">
      <w:pPr>
        <w:pStyle w:val="Heading1"/>
      </w:pPr>
      <w:r>
        <w:t>3</w:t>
      </w:r>
      <w:bookmarkStart w:id="3" w:name="_GoBack"/>
      <w:bookmarkEnd w:id="3"/>
      <w:r w:rsidR="002037A4">
        <w:tab/>
        <w:t>Summary</w:t>
      </w:r>
    </w:p>
    <w:p w14:paraId="3E18BF19" w14:textId="78454086" w:rsidR="002037A4" w:rsidRDefault="002037A4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In this contribution, we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present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out views on the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operation of </w:t>
      </w:r>
      <w:r w:rsidR="007B7A4F">
        <w:rPr>
          <w:rFonts w:eastAsia="Batang"/>
          <w:snapToGrid w:val="0"/>
          <w:kern w:val="2"/>
          <w:sz w:val="22"/>
          <w:szCs w:val="22"/>
          <w:lang w:eastAsia="ko-KR"/>
        </w:rPr>
        <w:t>LTE-MTC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in a NR carrier. We have the following observations:</w:t>
      </w:r>
    </w:p>
    <w:p w14:paraId="2DD12822" w14:textId="77777777" w:rsidR="007B7A4F" w:rsidRPr="0068319D" w:rsidRDefault="007B7A4F" w:rsidP="007B7A4F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efficient coexistence between NR and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/NB-IoT is required for supporting </w:t>
      </w:r>
      <w:r>
        <w:rPr>
          <w:kern w:val="2"/>
          <w:sz w:val="22"/>
          <w:szCs w:val="22"/>
        </w:rPr>
        <w:t>flexible spectrum utilization and facilitating smooth network migration to NR</w:t>
      </w:r>
      <w:r>
        <w:rPr>
          <w:sz w:val="22"/>
          <w:szCs w:val="22"/>
        </w:rPr>
        <w:t xml:space="preserve">. </w:t>
      </w:r>
    </w:p>
    <w:p w14:paraId="54273BCE" w14:textId="77777777" w:rsidR="007B7A4F" w:rsidRDefault="007B7A4F" w:rsidP="007B7A4F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Coexistence between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and NR can be enabled by allocating one or more 1.08MHz narrowband resources of a NR carrier for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or assigning one or more subframes for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. </w:t>
      </w:r>
    </w:p>
    <w:p w14:paraId="3AF36755" w14:textId="77777777" w:rsidR="0039468F" w:rsidRDefault="0039468F" w:rsidP="0039468F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proofErr w:type="spellStart"/>
      <w:r w:rsidRPr="00FA761F">
        <w:rPr>
          <w:rFonts w:hint="eastAsia"/>
          <w:kern w:val="2"/>
          <w:sz w:val="22"/>
          <w:szCs w:val="22"/>
        </w:rPr>
        <w:t>inband</w:t>
      </w:r>
      <w:proofErr w:type="spellEnd"/>
      <w:r w:rsidRPr="00FA761F">
        <w:rPr>
          <w:rFonts w:hint="eastAsia"/>
          <w:kern w:val="2"/>
          <w:sz w:val="22"/>
          <w:szCs w:val="22"/>
        </w:rPr>
        <w:t xml:space="preserve"> deployment</w:t>
      </w:r>
      <w:r w:rsidRPr="00FA761F">
        <w:rPr>
          <w:kern w:val="2"/>
          <w:sz w:val="22"/>
          <w:szCs w:val="22"/>
        </w:rPr>
        <w:t xml:space="preserve"> </w:t>
      </w:r>
      <w:r>
        <w:rPr>
          <w:kern w:val="2"/>
          <w:sz w:val="22"/>
          <w:szCs w:val="22"/>
        </w:rPr>
        <w:t>with NR, d</w:t>
      </w:r>
      <w:r>
        <w:rPr>
          <w:sz w:val="22"/>
          <w:szCs w:val="22"/>
        </w:rPr>
        <w:t xml:space="preserve">ynamic resource multiplexing between NR and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can be supported by using dynamic rate matching design in NR. </w:t>
      </w:r>
    </w:p>
    <w:p w14:paraId="21571E68" w14:textId="65885B23" w:rsidR="007B7A4F" w:rsidRDefault="007B7A4F" w:rsidP="007B7A4F">
      <w:pPr>
        <w:pStyle w:val="LGTdoc1"/>
        <w:spacing w:beforeLines="0" w:before="120" w:after="220" w:afterAutospacing="0"/>
        <w:rPr>
          <w:kern w:val="2"/>
          <w:sz w:val="22"/>
          <w:szCs w:val="22"/>
        </w:rPr>
      </w:pPr>
      <w:r>
        <w:rPr>
          <w:sz w:val="22"/>
          <w:szCs w:val="22"/>
          <w:u w:val="single"/>
        </w:rPr>
        <w:t>Observation 4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proofErr w:type="spellStart"/>
      <w:r w:rsidRPr="00FA761F">
        <w:rPr>
          <w:rFonts w:hint="eastAsia"/>
          <w:kern w:val="2"/>
          <w:sz w:val="22"/>
          <w:szCs w:val="22"/>
        </w:rPr>
        <w:t>inband</w:t>
      </w:r>
      <w:proofErr w:type="spellEnd"/>
      <w:r w:rsidRPr="00FA761F">
        <w:rPr>
          <w:rFonts w:hint="eastAsia"/>
          <w:kern w:val="2"/>
          <w:sz w:val="22"/>
          <w:szCs w:val="22"/>
        </w:rPr>
        <w:t xml:space="preserve"> deployment</w:t>
      </w:r>
      <w:r w:rsidRPr="00FA761F">
        <w:rPr>
          <w:kern w:val="2"/>
          <w:sz w:val="22"/>
          <w:szCs w:val="22"/>
        </w:rPr>
        <w:t xml:space="preserve"> </w:t>
      </w:r>
      <w:r w:rsidRPr="00FA761F">
        <w:rPr>
          <w:rFonts w:hint="eastAsia"/>
          <w:kern w:val="2"/>
          <w:sz w:val="22"/>
          <w:szCs w:val="22"/>
        </w:rPr>
        <w:t xml:space="preserve">of </w:t>
      </w:r>
      <w:proofErr w:type="spellStart"/>
      <w:r>
        <w:rPr>
          <w:kern w:val="2"/>
          <w:sz w:val="22"/>
          <w:szCs w:val="22"/>
        </w:rPr>
        <w:t>eMTC</w:t>
      </w:r>
      <w:proofErr w:type="spellEnd"/>
      <w:r>
        <w:rPr>
          <w:kern w:val="2"/>
          <w:sz w:val="22"/>
          <w:szCs w:val="22"/>
        </w:rPr>
        <w:t xml:space="preserve"> with NR, the restriction of allocating a subframe of either full DL or full UL for </w:t>
      </w:r>
      <w:proofErr w:type="spellStart"/>
      <w:r>
        <w:rPr>
          <w:kern w:val="2"/>
          <w:sz w:val="22"/>
          <w:szCs w:val="22"/>
        </w:rPr>
        <w:t>eMTC</w:t>
      </w:r>
      <w:proofErr w:type="spellEnd"/>
      <w:r>
        <w:rPr>
          <w:kern w:val="2"/>
          <w:sz w:val="22"/>
          <w:szCs w:val="22"/>
        </w:rPr>
        <w:t xml:space="preserve"> would limit the scheduler flexibility of NR for supporting different numerologies and </w:t>
      </w:r>
      <w:r w:rsidR="0039468F">
        <w:rPr>
          <w:kern w:val="2"/>
          <w:sz w:val="22"/>
          <w:szCs w:val="22"/>
        </w:rPr>
        <w:t>URLLC</w:t>
      </w:r>
    </w:p>
    <w:p w14:paraId="4ADA3184" w14:textId="72C856A6" w:rsidR="002037A4" w:rsidRDefault="002037A4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>Based on these observations we made the following proposals.</w:t>
      </w:r>
    </w:p>
    <w:p w14:paraId="04CEF3DF" w14:textId="34A26EF9" w:rsidR="007B7A4F" w:rsidRDefault="007B7A4F" w:rsidP="007B7A4F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coexistence with NR, both 1.4MHz </w:t>
      </w:r>
      <w:r w:rsidR="0039468F">
        <w:rPr>
          <w:sz w:val="22"/>
          <w:szCs w:val="22"/>
        </w:rPr>
        <w:t xml:space="preserve">bandwidth </w:t>
      </w:r>
      <w:r>
        <w:rPr>
          <w:sz w:val="22"/>
          <w:szCs w:val="22"/>
        </w:rPr>
        <w:t xml:space="preserve">and a larger bandwidth of at least 5MHz shall be supported for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.  </w:t>
      </w:r>
    </w:p>
    <w:p w14:paraId="0B6B1B52" w14:textId="77777777" w:rsidR="007B7A4F" w:rsidRDefault="007B7A4F" w:rsidP="007B7A4F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RAN1 shall study possible enhancements to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for ensuring efficient coexistence with NR using flexible subframe/slot structures.  </w:t>
      </w:r>
    </w:p>
    <w:p w14:paraId="151D3171" w14:textId="28BB0597" w:rsidR="007B7A4F" w:rsidRDefault="007B7A4F" w:rsidP="007B7A4F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RAN1 shall discuss whether to support frequency hopping for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with</w:t>
      </w:r>
      <w:r w:rsidR="00B3486E">
        <w:rPr>
          <w:sz w:val="22"/>
          <w:szCs w:val="22"/>
        </w:rPr>
        <w:t xml:space="preserve">in a </w:t>
      </w:r>
      <w:r>
        <w:rPr>
          <w:sz w:val="22"/>
          <w:szCs w:val="22"/>
        </w:rPr>
        <w:t xml:space="preserve">NR </w:t>
      </w:r>
      <w:r w:rsidR="00B3486E">
        <w:rPr>
          <w:sz w:val="22"/>
          <w:szCs w:val="22"/>
        </w:rPr>
        <w:t xml:space="preserve">carrier </w:t>
      </w:r>
      <w:r>
        <w:rPr>
          <w:sz w:val="22"/>
          <w:szCs w:val="22"/>
        </w:rPr>
        <w:t xml:space="preserve">and study possible enhancements to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 </w:t>
      </w:r>
    </w:p>
    <w:p w14:paraId="13599CCC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003956DE" w14:textId="56CE3695" w:rsidR="003A7EF3" w:rsidRDefault="00FA0631" w:rsidP="002037A4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bookmarkStart w:id="5" w:name="_Ref174151459"/>
      <w:bookmarkStart w:id="6" w:name="_Ref189809556"/>
      <w:r w:rsidRPr="00504EAE">
        <w:rPr>
          <w:rFonts w:ascii="Times New Roman" w:hAnsi="Times New Roman"/>
          <w:snapToGrid w:val="0"/>
          <w:sz w:val="22"/>
          <w:szCs w:val="22"/>
        </w:rPr>
        <w:t>[1]</w:t>
      </w:r>
      <w:r w:rsidRPr="00504EAE">
        <w:rPr>
          <w:rFonts w:ascii="Times New Roman" w:hAnsi="Times New Roman"/>
          <w:snapToGrid w:val="0"/>
          <w:sz w:val="22"/>
          <w:szCs w:val="22"/>
        </w:rPr>
        <w:tab/>
        <w:t>RP-18145</w:t>
      </w:r>
      <w:r w:rsidR="00900302">
        <w:rPr>
          <w:rFonts w:ascii="Times New Roman" w:hAnsi="Times New Roman"/>
          <w:snapToGrid w:val="0"/>
          <w:sz w:val="22"/>
          <w:szCs w:val="22"/>
        </w:rPr>
        <w:t>0</w:t>
      </w:r>
      <w:r w:rsidRPr="00504EAE">
        <w:rPr>
          <w:rFonts w:ascii="Times New Roman" w:hAnsi="Times New Roman"/>
          <w:snapToGrid w:val="0"/>
          <w:sz w:val="22"/>
          <w:szCs w:val="22"/>
        </w:rPr>
        <w:t xml:space="preserve">, “New WID on Rel-16 </w:t>
      </w:r>
      <w:r w:rsidR="00900302">
        <w:rPr>
          <w:rFonts w:ascii="Times New Roman" w:hAnsi="Times New Roman"/>
          <w:snapToGrid w:val="0"/>
          <w:sz w:val="22"/>
          <w:szCs w:val="22"/>
        </w:rPr>
        <w:t xml:space="preserve">MTC </w:t>
      </w:r>
      <w:r w:rsidRPr="00504EAE">
        <w:rPr>
          <w:rFonts w:ascii="Times New Roman" w:hAnsi="Times New Roman"/>
          <w:snapToGrid w:val="0"/>
          <w:sz w:val="22"/>
          <w:szCs w:val="22"/>
        </w:rPr>
        <w:t xml:space="preserve">enhancements for </w:t>
      </w:r>
      <w:r w:rsidR="00900302">
        <w:rPr>
          <w:rFonts w:ascii="Times New Roman" w:hAnsi="Times New Roman"/>
          <w:snapToGrid w:val="0"/>
          <w:sz w:val="22"/>
          <w:szCs w:val="22"/>
        </w:rPr>
        <w:t>LTE</w:t>
      </w:r>
      <w:r w:rsidRPr="00504EAE">
        <w:rPr>
          <w:rFonts w:ascii="Times New Roman" w:hAnsi="Times New Roman"/>
          <w:snapToGrid w:val="0"/>
          <w:sz w:val="22"/>
          <w:szCs w:val="22"/>
        </w:rPr>
        <w:t>”, Ericsson, 3GPP RAN#80 meeting, La Jolla, USA, June 11-14, 2018</w:t>
      </w:r>
      <w:bookmarkEnd w:id="5"/>
      <w:bookmarkEnd w:id="6"/>
    </w:p>
    <w:p w14:paraId="4010D33C" w14:textId="46F18800" w:rsidR="0059599A" w:rsidRPr="00CE0424" w:rsidRDefault="0059599A" w:rsidP="002037A4">
      <w:pPr>
        <w:pStyle w:val="Reference"/>
        <w:numPr>
          <w:ilvl w:val="0"/>
          <w:numId w:val="0"/>
        </w:numPr>
        <w:ind w:left="567" w:hanging="567"/>
      </w:pPr>
      <w:r>
        <w:rPr>
          <w:rFonts w:ascii="Times New Roman" w:hAnsi="Times New Roman"/>
          <w:snapToGrid w:val="0"/>
          <w:sz w:val="22"/>
          <w:szCs w:val="22"/>
        </w:rPr>
        <w:t>[2]</w:t>
      </w:r>
      <w:r>
        <w:rPr>
          <w:rFonts w:ascii="Times New Roman" w:hAnsi="Times New Roman"/>
          <w:snapToGrid w:val="0"/>
          <w:sz w:val="22"/>
          <w:szCs w:val="22"/>
        </w:rPr>
        <w:tab/>
        <w:t>R1-1809034, “Coexistence of NB-IoT with NR”, Qualcomm Incorporated</w:t>
      </w:r>
    </w:p>
    <w:sectPr w:rsidR="0059599A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48022" w14:textId="77777777" w:rsidR="00851524" w:rsidRDefault="00851524">
      <w:r>
        <w:separator/>
      </w:r>
    </w:p>
  </w:endnote>
  <w:endnote w:type="continuationSeparator" w:id="0">
    <w:p w14:paraId="3E3C394B" w14:textId="77777777" w:rsidR="00851524" w:rsidRDefault="00851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797B27" w:rsidRDefault="00797B2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17D73" w14:textId="77777777" w:rsidR="00851524" w:rsidRDefault="00851524">
      <w:r>
        <w:separator/>
      </w:r>
    </w:p>
  </w:footnote>
  <w:footnote w:type="continuationSeparator" w:id="0">
    <w:p w14:paraId="49959B00" w14:textId="77777777" w:rsidR="00851524" w:rsidRDefault="00851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797B27" w:rsidRDefault="00797B2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0847F3"/>
    <w:multiLevelType w:val="hybridMultilevel"/>
    <w:tmpl w:val="06AA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8"/>
  </w:num>
  <w:num w:numId="4">
    <w:abstractNumId w:val="19"/>
  </w:num>
  <w:num w:numId="5">
    <w:abstractNumId w:val="15"/>
  </w:num>
  <w:num w:numId="6">
    <w:abstractNumId w:val="23"/>
  </w:num>
  <w:num w:numId="7">
    <w:abstractNumId w:val="28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7"/>
  </w:num>
  <w:num w:numId="15">
    <w:abstractNumId w:val="20"/>
  </w:num>
  <w:num w:numId="16">
    <w:abstractNumId w:val="30"/>
  </w:num>
  <w:num w:numId="17">
    <w:abstractNumId w:val="10"/>
  </w:num>
  <w:num w:numId="18">
    <w:abstractNumId w:val="12"/>
  </w:num>
  <w:num w:numId="19">
    <w:abstractNumId w:val="7"/>
  </w:num>
  <w:num w:numId="20">
    <w:abstractNumId w:val="32"/>
  </w:num>
  <w:num w:numId="21">
    <w:abstractNumId w:val="17"/>
  </w:num>
  <w:num w:numId="22">
    <w:abstractNumId w:val="31"/>
  </w:num>
  <w:num w:numId="23">
    <w:abstractNumId w:val="11"/>
  </w:num>
  <w:num w:numId="24">
    <w:abstractNumId w:val="21"/>
  </w:num>
  <w:num w:numId="25">
    <w:abstractNumId w:val="33"/>
  </w:num>
  <w:num w:numId="26">
    <w:abstractNumId w:val="3"/>
  </w:num>
  <w:num w:numId="27">
    <w:abstractNumId w:val="9"/>
  </w:num>
  <w:num w:numId="28">
    <w:abstractNumId w:val="29"/>
  </w:num>
  <w:num w:numId="29">
    <w:abstractNumId w:val="5"/>
  </w:num>
  <w:num w:numId="30">
    <w:abstractNumId w:val="6"/>
  </w:num>
  <w:num w:numId="31">
    <w:abstractNumId w:val="26"/>
  </w:num>
  <w:num w:numId="32">
    <w:abstractNumId w:val="8"/>
  </w:num>
  <w:num w:numId="33">
    <w:abstractNumId w:val="22"/>
  </w:num>
  <w:num w:numId="3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64D"/>
    <w:rsid w:val="00025ECA"/>
    <w:rsid w:val="000325B8"/>
    <w:rsid w:val="00034C15"/>
    <w:rsid w:val="00036BA1"/>
    <w:rsid w:val="00037DC6"/>
    <w:rsid w:val="000422E2"/>
    <w:rsid w:val="00042F22"/>
    <w:rsid w:val="000444EF"/>
    <w:rsid w:val="00047A9F"/>
    <w:rsid w:val="00052A07"/>
    <w:rsid w:val="000534E3"/>
    <w:rsid w:val="0005606A"/>
    <w:rsid w:val="00057117"/>
    <w:rsid w:val="000616E7"/>
    <w:rsid w:val="0006487E"/>
    <w:rsid w:val="00065E1A"/>
    <w:rsid w:val="00076617"/>
    <w:rsid w:val="00077E5F"/>
    <w:rsid w:val="0008036A"/>
    <w:rsid w:val="00081AE6"/>
    <w:rsid w:val="00083055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56F2"/>
    <w:rsid w:val="000B2719"/>
    <w:rsid w:val="000B3A8F"/>
    <w:rsid w:val="000B4AB9"/>
    <w:rsid w:val="000B4C0A"/>
    <w:rsid w:val="000B58C3"/>
    <w:rsid w:val="000B61E9"/>
    <w:rsid w:val="000C165A"/>
    <w:rsid w:val="000C2E19"/>
    <w:rsid w:val="000C3CAE"/>
    <w:rsid w:val="000D0D07"/>
    <w:rsid w:val="000D4797"/>
    <w:rsid w:val="000E0527"/>
    <w:rsid w:val="000E1E92"/>
    <w:rsid w:val="000F06D6"/>
    <w:rsid w:val="000F0EB1"/>
    <w:rsid w:val="000F1106"/>
    <w:rsid w:val="000F360A"/>
    <w:rsid w:val="000F3BE9"/>
    <w:rsid w:val="000F3F6C"/>
    <w:rsid w:val="000F6DF3"/>
    <w:rsid w:val="001005FF"/>
    <w:rsid w:val="00104AC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44EF9"/>
    <w:rsid w:val="00151E23"/>
    <w:rsid w:val="001526E0"/>
    <w:rsid w:val="001551B5"/>
    <w:rsid w:val="00164B90"/>
    <w:rsid w:val="001659C1"/>
    <w:rsid w:val="001733C3"/>
    <w:rsid w:val="00173A8E"/>
    <w:rsid w:val="0017502C"/>
    <w:rsid w:val="0018143F"/>
    <w:rsid w:val="00181FF8"/>
    <w:rsid w:val="00183548"/>
    <w:rsid w:val="00190AC1"/>
    <w:rsid w:val="00192251"/>
    <w:rsid w:val="0019341A"/>
    <w:rsid w:val="00197DF9"/>
    <w:rsid w:val="001A1987"/>
    <w:rsid w:val="001A2564"/>
    <w:rsid w:val="001A6173"/>
    <w:rsid w:val="001A6CBA"/>
    <w:rsid w:val="001B0D97"/>
    <w:rsid w:val="001B5A5D"/>
    <w:rsid w:val="001B7F7F"/>
    <w:rsid w:val="001C0423"/>
    <w:rsid w:val="001C1CE5"/>
    <w:rsid w:val="001C3D2A"/>
    <w:rsid w:val="001D51BA"/>
    <w:rsid w:val="001D5298"/>
    <w:rsid w:val="001D53E7"/>
    <w:rsid w:val="001D6342"/>
    <w:rsid w:val="001D6CFA"/>
    <w:rsid w:val="001D6D53"/>
    <w:rsid w:val="001E58E2"/>
    <w:rsid w:val="001E7AED"/>
    <w:rsid w:val="001F22E5"/>
    <w:rsid w:val="001F3916"/>
    <w:rsid w:val="001F54C5"/>
    <w:rsid w:val="001F662C"/>
    <w:rsid w:val="001F7074"/>
    <w:rsid w:val="00200490"/>
    <w:rsid w:val="00201F3A"/>
    <w:rsid w:val="002037A4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3DF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F7E"/>
    <w:rsid w:val="00273278"/>
    <w:rsid w:val="002737F4"/>
    <w:rsid w:val="002801E1"/>
    <w:rsid w:val="002805F5"/>
    <w:rsid w:val="00280751"/>
    <w:rsid w:val="0028280A"/>
    <w:rsid w:val="00286ACD"/>
    <w:rsid w:val="00287838"/>
    <w:rsid w:val="002907B5"/>
    <w:rsid w:val="00292EB7"/>
    <w:rsid w:val="00295BA6"/>
    <w:rsid w:val="00296227"/>
    <w:rsid w:val="00296F44"/>
    <w:rsid w:val="0029777D"/>
    <w:rsid w:val="002A055E"/>
    <w:rsid w:val="002A1D4E"/>
    <w:rsid w:val="002A2869"/>
    <w:rsid w:val="002B24D6"/>
    <w:rsid w:val="002C14BD"/>
    <w:rsid w:val="002C41E6"/>
    <w:rsid w:val="002D071A"/>
    <w:rsid w:val="002D34B2"/>
    <w:rsid w:val="002D4118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301CE6"/>
    <w:rsid w:val="0030256B"/>
    <w:rsid w:val="00303149"/>
    <w:rsid w:val="003048AE"/>
    <w:rsid w:val="0030501F"/>
    <w:rsid w:val="00307BA1"/>
    <w:rsid w:val="00311702"/>
    <w:rsid w:val="00311E82"/>
    <w:rsid w:val="0031351F"/>
    <w:rsid w:val="00313E12"/>
    <w:rsid w:val="00313FD6"/>
    <w:rsid w:val="003143BD"/>
    <w:rsid w:val="00315363"/>
    <w:rsid w:val="003203ED"/>
    <w:rsid w:val="00322C9F"/>
    <w:rsid w:val="00324D23"/>
    <w:rsid w:val="00331751"/>
    <w:rsid w:val="00333EB6"/>
    <w:rsid w:val="00334579"/>
    <w:rsid w:val="00335858"/>
    <w:rsid w:val="00336BDA"/>
    <w:rsid w:val="00342BD7"/>
    <w:rsid w:val="003448C6"/>
    <w:rsid w:val="00346DB5"/>
    <w:rsid w:val="00347712"/>
    <w:rsid w:val="003477B1"/>
    <w:rsid w:val="00357380"/>
    <w:rsid w:val="003602D9"/>
    <w:rsid w:val="003604CE"/>
    <w:rsid w:val="003623B1"/>
    <w:rsid w:val="00370E47"/>
    <w:rsid w:val="003742AC"/>
    <w:rsid w:val="003752FC"/>
    <w:rsid w:val="00377CE1"/>
    <w:rsid w:val="003836F2"/>
    <w:rsid w:val="00385785"/>
    <w:rsid w:val="00385BF0"/>
    <w:rsid w:val="003939FF"/>
    <w:rsid w:val="0039468F"/>
    <w:rsid w:val="003A2223"/>
    <w:rsid w:val="003A2A0F"/>
    <w:rsid w:val="003A45A1"/>
    <w:rsid w:val="003A5B0A"/>
    <w:rsid w:val="003A6BAC"/>
    <w:rsid w:val="003A70A4"/>
    <w:rsid w:val="003A7EF3"/>
    <w:rsid w:val="003B0D7D"/>
    <w:rsid w:val="003B159C"/>
    <w:rsid w:val="003B369F"/>
    <w:rsid w:val="003B36A3"/>
    <w:rsid w:val="003B64BB"/>
    <w:rsid w:val="003B7FE5"/>
    <w:rsid w:val="003C11C8"/>
    <w:rsid w:val="003C2702"/>
    <w:rsid w:val="003C3487"/>
    <w:rsid w:val="003C6BA0"/>
    <w:rsid w:val="003C7806"/>
    <w:rsid w:val="003D0B8C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685"/>
    <w:rsid w:val="004431DC"/>
    <w:rsid w:val="00444F56"/>
    <w:rsid w:val="00446488"/>
    <w:rsid w:val="00450020"/>
    <w:rsid w:val="004517AA"/>
    <w:rsid w:val="00452CAC"/>
    <w:rsid w:val="00457565"/>
    <w:rsid w:val="00457B71"/>
    <w:rsid w:val="00461EA1"/>
    <w:rsid w:val="00463323"/>
    <w:rsid w:val="004669E2"/>
    <w:rsid w:val="00467CFE"/>
    <w:rsid w:val="00470C31"/>
    <w:rsid w:val="00471DE0"/>
    <w:rsid w:val="004734D0"/>
    <w:rsid w:val="0047556B"/>
    <w:rsid w:val="0047557E"/>
    <w:rsid w:val="00477768"/>
    <w:rsid w:val="00492BC5"/>
    <w:rsid w:val="004964F1"/>
    <w:rsid w:val="004A16BC"/>
    <w:rsid w:val="004A2B94"/>
    <w:rsid w:val="004B621A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CF4"/>
    <w:rsid w:val="004F4DA3"/>
    <w:rsid w:val="00504EAE"/>
    <w:rsid w:val="00506557"/>
    <w:rsid w:val="0050677A"/>
    <w:rsid w:val="005108D8"/>
    <w:rsid w:val="005116F9"/>
    <w:rsid w:val="005153A7"/>
    <w:rsid w:val="005219CF"/>
    <w:rsid w:val="00530FD5"/>
    <w:rsid w:val="00531C19"/>
    <w:rsid w:val="00534B59"/>
    <w:rsid w:val="00535F12"/>
    <w:rsid w:val="00536759"/>
    <w:rsid w:val="00537C62"/>
    <w:rsid w:val="005416DD"/>
    <w:rsid w:val="00546970"/>
    <w:rsid w:val="00554E19"/>
    <w:rsid w:val="0056121F"/>
    <w:rsid w:val="00564BC3"/>
    <w:rsid w:val="00572505"/>
    <w:rsid w:val="00582809"/>
    <w:rsid w:val="0058798C"/>
    <w:rsid w:val="005900FA"/>
    <w:rsid w:val="00590847"/>
    <w:rsid w:val="00593081"/>
    <w:rsid w:val="005935A4"/>
    <w:rsid w:val="005948C2"/>
    <w:rsid w:val="0059599A"/>
    <w:rsid w:val="00595DCA"/>
    <w:rsid w:val="0059779B"/>
    <w:rsid w:val="005A209A"/>
    <w:rsid w:val="005A662D"/>
    <w:rsid w:val="005B0589"/>
    <w:rsid w:val="005B1409"/>
    <w:rsid w:val="005B35D7"/>
    <w:rsid w:val="005B392A"/>
    <w:rsid w:val="005B3AA3"/>
    <w:rsid w:val="005B41F1"/>
    <w:rsid w:val="005B6F83"/>
    <w:rsid w:val="005C74FB"/>
    <w:rsid w:val="005C7B25"/>
    <w:rsid w:val="005D1602"/>
    <w:rsid w:val="005E33E9"/>
    <w:rsid w:val="005E385F"/>
    <w:rsid w:val="005E3B24"/>
    <w:rsid w:val="005E5B81"/>
    <w:rsid w:val="005F04D3"/>
    <w:rsid w:val="005F2CB1"/>
    <w:rsid w:val="005F3025"/>
    <w:rsid w:val="005F4080"/>
    <w:rsid w:val="005F618C"/>
    <w:rsid w:val="005F70BD"/>
    <w:rsid w:val="0060283C"/>
    <w:rsid w:val="0060351E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3E1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A9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152"/>
    <w:rsid w:val="006C5EC9"/>
    <w:rsid w:val="006C6059"/>
    <w:rsid w:val="006C7522"/>
    <w:rsid w:val="006D0F2A"/>
    <w:rsid w:val="006D6F08"/>
    <w:rsid w:val="006D79A7"/>
    <w:rsid w:val="006E062C"/>
    <w:rsid w:val="006E15E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97B27"/>
    <w:rsid w:val="007A1CB3"/>
    <w:rsid w:val="007A306F"/>
    <w:rsid w:val="007A43A6"/>
    <w:rsid w:val="007A58A6"/>
    <w:rsid w:val="007A6B63"/>
    <w:rsid w:val="007B3D2D"/>
    <w:rsid w:val="007B50AE"/>
    <w:rsid w:val="007B51DF"/>
    <w:rsid w:val="007B7A4F"/>
    <w:rsid w:val="007B7EB2"/>
    <w:rsid w:val="007C05DD"/>
    <w:rsid w:val="007C0F35"/>
    <w:rsid w:val="007C3D18"/>
    <w:rsid w:val="007C4844"/>
    <w:rsid w:val="007C60BF"/>
    <w:rsid w:val="007C619A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37A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1524"/>
    <w:rsid w:val="00856911"/>
    <w:rsid w:val="00863A5E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B6F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900302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1E4"/>
    <w:rsid w:val="00943742"/>
    <w:rsid w:val="00945C05"/>
    <w:rsid w:val="00946945"/>
    <w:rsid w:val="00947713"/>
    <w:rsid w:val="00950DE7"/>
    <w:rsid w:val="0095351C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59E"/>
    <w:rsid w:val="00985253"/>
    <w:rsid w:val="009853B3"/>
    <w:rsid w:val="00990630"/>
    <w:rsid w:val="00991761"/>
    <w:rsid w:val="00994DCA"/>
    <w:rsid w:val="009960EC"/>
    <w:rsid w:val="0099654E"/>
    <w:rsid w:val="009970DD"/>
    <w:rsid w:val="009A0FBA"/>
    <w:rsid w:val="009A1601"/>
    <w:rsid w:val="009A39A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E58E4"/>
    <w:rsid w:val="009E598E"/>
    <w:rsid w:val="009F0779"/>
    <w:rsid w:val="009F08F3"/>
    <w:rsid w:val="009F344F"/>
    <w:rsid w:val="00A031D8"/>
    <w:rsid w:val="00A048A8"/>
    <w:rsid w:val="00A04F49"/>
    <w:rsid w:val="00A13E54"/>
    <w:rsid w:val="00A158D5"/>
    <w:rsid w:val="00A17F63"/>
    <w:rsid w:val="00A21323"/>
    <w:rsid w:val="00A216EB"/>
    <w:rsid w:val="00A2193B"/>
    <w:rsid w:val="00A21C3E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61D4"/>
    <w:rsid w:val="00A77EC4"/>
    <w:rsid w:val="00A81818"/>
    <w:rsid w:val="00A92879"/>
    <w:rsid w:val="00A9442A"/>
    <w:rsid w:val="00A95E67"/>
    <w:rsid w:val="00AA016F"/>
    <w:rsid w:val="00AA1ED6"/>
    <w:rsid w:val="00AA51D6"/>
    <w:rsid w:val="00AA5D36"/>
    <w:rsid w:val="00AB0BC8"/>
    <w:rsid w:val="00AB11CA"/>
    <w:rsid w:val="00AB14D9"/>
    <w:rsid w:val="00AB4AB8"/>
    <w:rsid w:val="00AB655E"/>
    <w:rsid w:val="00AB731D"/>
    <w:rsid w:val="00AC007F"/>
    <w:rsid w:val="00AC2ECD"/>
    <w:rsid w:val="00AC3119"/>
    <w:rsid w:val="00AC49FB"/>
    <w:rsid w:val="00AC5A10"/>
    <w:rsid w:val="00AC7D49"/>
    <w:rsid w:val="00AD0AA3"/>
    <w:rsid w:val="00AD2ED0"/>
    <w:rsid w:val="00AD3F94"/>
    <w:rsid w:val="00AD3FE3"/>
    <w:rsid w:val="00AD4A5A"/>
    <w:rsid w:val="00AE27AC"/>
    <w:rsid w:val="00AE40E0"/>
    <w:rsid w:val="00AE4DBA"/>
    <w:rsid w:val="00AE4F07"/>
    <w:rsid w:val="00AE60EC"/>
    <w:rsid w:val="00AF1C5D"/>
    <w:rsid w:val="00AF42D7"/>
    <w:rsid w:val="00B006FE"/>
    <w:rsid w:val="00B007CB"/>
    <w:rsid w:val="00B02AA9"/>
    <w:rsid w:val="00B02FA3"/>
    <w:rsid w:val="00B041DD"/>
    <w:rsid w:val="00B04628"/>
    <w:rsid w:val="00B05084"/>
    <w:rsid w:val="00B12997"/>
    <w:rsid w:val="00B157F9"/>
    <w:rsid w:val="00B20256"/>
    <w:rsid w:val="00B20D09"/>
    <w:rsid w:val="00B2763F"/>
    <w:rsid w:val="00B27AAC"/>
    <w:rsid w:val="00B30929"/>
    <w:rsid w:val="00B342D0"/>
    <w:rsid w:val="00B3486E"/>
    <w:rsid w:val="00B372AA"/>
    <w:rsid w:val="00B40081"/>
    <w:rsid w:val="00B40445"/>
    <w:rsid w:val="00B409E0"/>
    <w:rsid w:val="00B412EB"/>
    <w:rsid w:val="00B41888"/>
    <w:rsid w:val="00B41DE5"/>
    <w:rsid w:val="00B43958"/>
    <w:rsid w:val="00B45A52"/>
    <w:rsid w:val="00B46175"/>
    <w:rsid w:val="00B509B4"/>
    <w:rsid w:val="00B548B7"/>
    <w:rsid w:val="00B61DD3"/>
    <w:rsid w:val="00B664C7"/>
    <w:rsid w:val="00B739F6"/>
    <w:rsid w:val="00B74EBA"/>
    <w:rsid w:val="00B81A6C"/>
    <w:rsid w:val="00B85DE5"/>
    <w:rsid w:val="00B8750A"/>
    <w:rsid w:val="00B90F73"/>
    <w:rsid w:val="00B93B59"/>
    <w:rsid w:val="00B9406A"/>
    <w:rsid w:val="00BA2280"/>
    <w:rsid w:val="00BA2A08"/>
    <w:rsid w:val="00BA56D2"/>
    <w:rsid w:val="00BA76E0"/>
    <w:rsid w:val="00BB0390"/>
    <w:rsid w:val="00BB2A25"/>
    <w:rsid w:val="00BB51E9"/>
    <w:rsid w:val="00BB5FAB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7DD"/>
    <w:rsid w:val="00C14D4B"/>
    <w:rsid w:val="00C154BB"/>
    <w:rsid w:val="00C169DA"/>
    <w:rsid w:val="00C2682C"/>
    <w:rsid w:val="00C279B5"/>
    <w:rsid w:val="00C27C45"/>
    <w:rsid w:val="00C3719D"/>
    <w:rsid w:val="00C37CB2"/>
    <w:rsid w:val="00C405AB"/>
    <w:rsid w:val="00C417E1"/>
    <w:rsid w:val="00C464AA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81568"/>
    <w:rsid w:val="00C86030"/>
    <w:rsid w:val="00C873A7"/>
    <w:rsid w:val="00C87BEE"/>
    <w:rsid w:val="00C9027A"/>
    <w:rsid w:val="00C9068E"/>
    <w:rsid w:val="00C93814"/>
    <w:rsid w:val="00C93C4B"/>
    <w:rsid w:val="00C93F1E"/>
    <w:rsid w:val="00C944AB"/>
    <w:rsid w:val="00C95B40"/>
    <w:rsid w:val="00CA03EB"/>
    <w:rsid w:val="00CA1A04"/>
    <w:rsid w:val="00CA1ED8"/>
    <w:rsid w:val="00CA512D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79F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5E7"/>
    <w:rsid w:val="00D239A7"/>
    <w:rsid w:val="00D23F47"/>
    <w:rsid w:val="00D36E71"/>
    <w:rsid w:val="00D37D87"/>
    <w:rsid w:val="00D40B33"/>
    <w:rsid w:val="00D4318F"/>
    <w:rsid w:val="00D438BF"/>
    <w:rsid w:val="00D440F8"/>
    <w:rsid w:val="00D4520A"/>
    <w:rsid w:val="00D5391C"/>
    <w:rsid w:val="00D54462"/>
    <w:rsid w:val="00D546FF"/>
    <w:rsid w:val="00D55AD5"/>
    <w:rsid w:val="00D576CA"/>
    <w:rsid w:val="00D61AF5"/>
    <w:rsid w:val="00D652B5"/>
    <w:rsid w:val="00D66155"/>
    <w:rsid w:val="00D676AC"/>
    <w:rsid w:val="00D70689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F01"/>
    <w:rsid w:val="00DA5417"/>
    <w:rsid w:val="00DA56E8"/>
    <w:rsid w:val="00DA69F4"/>
    <w:rsid w:val="00DB0A9F"/>
    <w:rsid w:val="00DB377D"/>
    <w:rsid w:val="00DC2D36"/>
    <w:rsid w:val="00DC53EF"/>
    <w:rsid w:val="00DD2FF1"/>
    <w:rsid w:val="00DE1132"/>
    <w:rsid w:val="00DE5608"/>
    <w:rsid w:val="00DE58D0"/>
    <w:rsid w:val="00DE654F"/>
    <w:rsid w:val="00DE6862"/>
    <w:rsid w:val="00DF0B6E"/>
    <w:rsid w:val="00DF15E0"/>
    <w:rsid w:val="00DF37A0"/>
    <w:rsid w:val="00DF7AAF"/>
    <w:rsid w:val="00E029CE"/>
    <w:rsid w:val="00E110E7"/>
    <w:rsid w:val="00E11B20"/>
    <w:rsid w:val="00E17FA2"/>
    <w:rsid w:val="00E22330"/>
    <w:rsid w:val="00E3041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64AF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600"/>
    <w:rsid w:val="00E8580E"/>
    <w:rsid w:val="00E85928"/>
    <w:rsid w:val="00E87822"/>
    <w:rsid w:val="00E90395"/>
    <w:rsid w:val="00E90E49"/>
    <w:rsid w:val="00E91742"/>
    <w:rsid w:val="00E917F9"/>
    <w:rsid w:val="00E9291C"/>
    <w:rsid w:val="00E93FFE"/>
    <w:rsid w:val="00E94F8A"/>
    <w:rsid w:val="00EA0473"/>
    <w:rsid w:val="00EA7A41"/>
    <w:rsid w:val="00EB077B"/>
    <w:rsid w:val="00EB388E"/>
    <w:rsid w:val="00EB4EA2"/>
    <w:rsid w:val="00EC24D5"/>
    <w:rsid w:val="00EC27C6"/>
    <w:rsid w:val="00EC4207"/>
    <w:rsid w:val="00EC5653"/>
    <w:rsid w:val="00EC71CE"/>
    <w:rsid w:val="00ED1006"/>
    <w:rsid w:val="00ED474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C4E"/>
    <w:rsid w:val="00F30828"/>
    <w:rsid w:val="00F30DD6"/>
    <w:rsid w:val="00F313D6"/>
    <w:rsid w:val="00F37BC5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EFF"/>
    <w:rsid w:val="00F64C2B"/>
    <w:rsid w:val="00F651BE"/>
    <w:rsid w:val="00F67F53"/>
    <w:rsid w:val="00F703BE"/>
    <w:rsid w:val="00F71F69"/>
    <w:rsid w:val="00F72B72"/>
    <w:rsid w:val="00F74BB9"/>
    <w:rsid w:val="00F74F76"/>
    <w:rsid w:val="00F75582"/>
    <w:rsid w:val="00F76EFA"/>
    <w:rsid w:val="00F77BBD"/>
    <w:rsid w:val="00F804BE"/>
    <w:rsid w:val="00F812E2"/>
    <w:rsid w:val="00F817CE"/>
    <w:rsid w:val="00F8446A"/>
    <w:rsid w:val="00F8456C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0631"/>
    <w:rsid w:val="00FA2BB3"/>
    <w:rsid w:val="00FA761F"/>
    <w:rsid w:val="00FB4C80"/>
    <w:rsid w:val="00FB6A6A"/>
    <w:rsid w:val="00FC7429"/>
    <w:rsid w:val="00FD07F6"/>
    <w:rsid w:val="00FD1EC8"/>
    <w:rsid w:val="00FD2B99"/>
    <w:rsid w:val="00FD3120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GTdoc1">
    <w:name w:val="LGTdoc_제목1"/>
    <w:basedOn w:val="Normal"/>
    <w:rsid w:val="00FA0631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CB852-F962-4751-AC37-68AE97EC1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1438</TotalTime>
  <Pages>4</Pages>
  <Words>1443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9651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9</cp:revision>
  <cp:lastPrinted>2008-01-31T07:09:00Z</cp:lastPrinted>
  <dcterms:created xsi:type="dcterms:W3CDTF">2018-08-07T08:48:00Z</dcterms:created>
  <dcterms:modified xsi:type="dcterms:W3CDTF">2018-08-10T16:52:00Z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