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5CA71152" w:rsidR="00D00AE7" w:rsidRPr="007C1B33" w:rsidRDefault="008409AB"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#85</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sidR="00C8725C">
        <w:rPr>
          <w:rFonts w:eastAsia="Times New Roman" w:cs="Arial"/>
          <w:bCs/>
          <w:noProof/>
          <w:sz w:val="20"/>
          <w:szCs w:val="18"/>
          <w:lang w:val="en-US" w:eastAsia="zh-CN"/>
        </w:rPr>
        <w:t>16</w:t>
      </w:r>
      <w:r w:rsidR="00666B4F">
        <w:rPr>
          <w:rFonts w:eastAsia="Times New Roman" w:cs="Arial"/>
          <w:bCs/>
          <w:noProof/>
          <w:sz w:val="20"/>
          <w:szCs w:val="18"/>
          <w:lang w:val="en-US" w:eastAsia="zh-CN"/>
        </w:rPr>
        <w:t>5157</w:t>
      </w:r>
    </w:p>
    <w:p w14:paraId="53AF47EE" w14:textId="63B97CE9" w:rsidR="00F85CDA" w:rsidRDefault="008409AB" w:rsidP="00F85CDA">
      <w:pPr>
        <w:pStyle w:val="TdocHeader2"/>
        <w:rPr>
          <w:rFonts w:eastAsia="Times New Roman" w:cs="Arial"/>
          <w:bCs/>
          <w:noProof/>
          <w:sz w:val="20"/>
          <w:szCs w:val="18"/>
          <w:lang w:val="en-US" w:eastAsia="zh-CN"/>
        </w:rPr>
      </w:pPr>
      <w:r>
        <w:rPr>
          <w:rFonts w:eastAsia="Times New Roman" w:cs="Arial"/>
          <w:bCs/>
          <w:noProof/>
          <w:sz w:val="20"/>
          <w:lang w:eastAsia="zh-CN"/>
        </w:rPr>
        <w:t>Nanjing</w:t>
      </w:r>
      <w:r w:rsidR="00A25E7D" w:rsidRPr="00703485">
        <w:rPr>
          <w:rFonts w:eastAsia="Times New Roman" w:cs="Arial"/>
          <w:bCs/>
          <w:noProof/>
          <w:sz w:val="20"/>
          <w:lang w:eastAsia="zh-CN"/>
        </w:rPr>
        <w:t xml:space="preserve">, </w:t>
      </w:r>
      <w:r>
        <w:rPr>
          <w:rFonts w:eastAsia="Times New Roman" w:cs="Arial"/>
          <w:bCs/>
          <w:noProof/>
          <w:sz w:val="20"/>
          <w:lang w:val="en-US" w:eastAsia="zh-CN"/>
        </w:rPr>
        <w:t>China</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23</w:t>
      </w:r>
      <w:r w:rsidRPr="008409AB">
        <w:rPr>
          <w:rFonts w:eastAsia="Times New Roman" w:cs="Arial"/>
          <w:bCs/>
          <w:noProof/>
          <w:sz w:val="20"/>
          <w:szCs w:val="18"/>
          <w:vertAlign w:val="superscript"/>
          <w:lang w:val="en-US" w:eastAsia="zh-CN"/>
        </w:rPr>
        <w:t>rd</w:t>
      </w:r>
      <w:r>
        <w:rPr>
          <w:rFonts w:eastAsia="Times New Roman" w:cs="Arial"/>
          <w:bCs/>
          <w:noProof/>
          <w:sz w:val="20"/>
          <w:szCs w:val="18"/>
          <w:lang w:val="en-US" w:eastAsia="zh-CN"/>
        </w:rPr>
        <w:t xml:space="preserve"> </w:t>
      </w:r>
      <w:r w:rsidR="00F85CDA">
        <w:rPr>
          <w:rFonts w:eastAsia="Times New Roman" w:cs="Arial"/>
          <w:bCs/>
          <w:noProof/>
          <w:sz w:val="20"/>
          <w:szCs w:val="18"/>
          <w:lang w:val="en-US" w:eastAsia="zh-CN"/>
        </w:rPr>
        <w:t xml:space="preserve"> </w:t>
      </w:r>
      <w:r w:rsidR="00A25E7D">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27</w:t>
      </w:r>
      <w:r w:rsidR="00A25E7D">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May</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37568717"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666B4F">
        <w:rPr>
          <w:sz w:val="20"/>
          <w:lang w:val="en-US"/>
        </w:rPr>
        <w:t>On</w:t>
      </w:r>
      <w:r w:rsidR="00165516">
        <w:rPr>
          <w:sz w:val="20"/>
          <w:lang w:val="en-US"/>
        </w:rPr>
        <w:t xml:space="preserve"> </w:t>
      </w:r>
      <w:r w:rsidR="00573BDB" w:rsidRPr="00573BDB">
        <w:rPr>
          <w:sz w:val="20"/>
          <w:lang w:val="en-US"/>
        </w:rPr>
        <w:t>UL Chan</w:t>
      </w:r>
      <w:r w:rsidR="008409AB">
        <w:rPr>
          <w:sz w:val="20"/>
          <w:lang w:val="en-US"/>
        </w:rPr>
        <w:t>nel Ac</w:t>
      </w:r>
      <w:r w:rsidR="00666B4F">
        <w:rPr>
          <w:sz w:val="20"/>
          <w:lang w:val="en-US"/>
        </w:rPr>
        <w:t>cess Procedures</w:t>
      </w:r>
    </w:p>
    <w:p w14:paraId="0AF57746" w14:textId="298098AC"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8409AB">
        <w:rPr>
          <w:sz w:val="20"/>
          <w:lang w:val="en-US"/>
        </w:rPr>
        <w:t>6</w:t>
      </w:r>
      <w:r w:rsidR="00C8725C">
        <w:rPr>
          <w:sz w:val="20"/>
          <w:lang w:val="en-US"/>
        </w:rPr>
        <w:t>.3.</w:t>
      </w:r>
      <w:r w:rsidR="0005024D">
        <w:rPr>
          <w:sz w:val="20"/>
          <w:lang w:val="en-US"/>
        </w:rPr>
        <w:t>1.</w:t>
      </w:r>
      <w:r w:rsidR="003856C9">
        <w:rPr>
          <w:sz w:val="20"/>
          <w:lang w:val="en-US"/>
        </w:rPr>
        <w:t>5</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D00AE7">
      <w:pPr>
        <w:pStyle w:val="Heading1"/>
        <w:rPr>
          <w:lang w:val="en-US"/>
        </w:rPr>
      </w:pPr>
      <w:bookmarkStart w:id="3" w:name="_Ref298777854"/>
      <w:bookmarkEnd w:id="0"/>
      <w:bookmarkEnd w:id="1"/>
      <w:r w:rsidRPr="00310B2F">
        <w:rPr>
          <w:lang w:val="en-US"/>
        </w:rPr>
        <w:t>Introduction</w:t>
      </w:r>
      <w:bookmarkEnd w:id="3"/>
    </w:p>
    <w:p w14:paraId="36901D77" w14:textId="7204C398" w:rsidR="00AB63BB" w:rsidRPr="00AB63BB" w:rsidRDefault="00A5462F" w:rsidP="00AB63BB">
      <w:pPr>
        <w:pStyle w:val="BodyText"/>
        <w:spacing w:after="0"/>
        <w:rPr>
          <w:bCs/>
        </w:rPr>
      </w:pPr>
      <w:r w:rsidRPr="00AB63BB">
        <w:t>The new Rel-14 work item on enhanced LAA is tasked with specifying efficient operation of uplink LAA</w:t>
      </w:r>
      <w:r w:rsidR="00040F47" w:rsidRPr="00AB63BB">
        <w:t xml:space="preserve"> </w:t>
      </w:r>
      <w:r w:rsidR="00040F47" w:rsidRPr="00AB63BB">
        <w:fldChar w:fldCharType="begin"/>
      </w:r>
      <w:r w:rsidR="00040F47" w:rsidRPr="00AB63BB">
        <w:instrText xml:space="preserve"> REF _Ref442291765 \r \h </w:instrText>
      </w:r>
      <w:r w:rsidR="00AB63BB">
        <w:instrText xml:space="preserve"> \* MERGEFORMAT </w:instrText>
      </w:r>
      <w:r w:rsidR="00040F47" w:rsidRPr="00AB63BB">
        <w:fldChar w:fldCharType="separate"/>
      </w:r>
      <w:r w:rsidR="00040F47" w:rsidRPr="00AB63BB">
        <w:t>[1]</w:t>
      </w:r>
      <w:r w:rsidR="00040F47" w:rsidRPr="00AB63BB">
        <w:fldChar w:fldCharType="end"/>
      </w:r>
      <w:r w:rsidRPr="00AB63BB">
        <w:t xml:space="preserve">.  </w:t>
      </w:r>
      <w:r w:rsidRPr="00AB63BB">
        <w:rPr>
          <w:bCs/>
        </w:rPr>
        <w:t xml:space="preserve">Within the WID scope, the channel access mechanism functionality for UL transmissions should be addressed. </w:t>
      </w:r>
      <w:r w:rsidR="00AB63BB" w:rsidRPr="00AB63BB">
        <w:rPr>
          <w:bCs/>
        </w:rPr>
        <w:t xml:space="preserve">The following agreements were made during the RAN1#84bis meeting </w:t>
      </w:r>
      <w:r w:rsidR="00A93A60">
        <w:rPr>
          <w:bCs/>
        </w:rPr>
        <w:fldChar w:fldCharType="begin"/>
      </w:r>
      <w:r w:rsidR="00A93A60">
        <w:rPr>
          <w:bCs/>
        </w:rPr>
        <w:instrText xml:space="preserve"> REF _Ref450900109 \n \h </w:instrText>
      </w:r>
      <w:r w:rsidR="00A93A60">
        <w:rPr>
          <w:bCs/>
        </w:rPr>
      </w:r>
      <w:r w:rsidR="00A93A60">
        <w:rPr>
          <w:bCs/>
        </w:rPr>
        <w:fldChar w:fldCharType="separate"/>
      </w:r>
      <w:r w:rsidR="00A93A60">
        <w:rPr>
          <w:bCs/>
        </w:rPr>
        <w:t>[2]</w:t>
      </w:r>
      <w:r w:rsidR="00A93A60">
        <w:rPr>
          <w:bCs/>
        </w:rPr>
        <w:fldChar w:fldCharType="end"/>
      </w:r>
      <w:r w:rsidR="00AB63BB" w:rsidRPr="00AB63BB">
        <w:rPr>
          <w:bCs/>
        </w:rPr>
        <w:t xml:space="preserve"> and the follow up email discussion [84b-06]:</w:t>
      </w:r>
    </w:p>
    <w:p w14:paraId="51C72496" w14:textId="77777777" w:rsidR="00AB63BB" w:rsidRDefault="00AB63BB" w:rsidP="00AB63BB">
      <w:pPr>
        <w:rPr>
          <w:rFonts w:eastAsia="MS Mincho"/>
          <w:b/>
          <w:highlight w:val="green"/>
          <w:u w:val="single"/>
          <w:lang w:eastAsia="ja-JP"/>
        </w:rPr>
      </w:pPr>
    </w:p>
    <w:p w14:paraId="5FD37DD6" w14:textId="77777777" w:rsidR="00AB63BB" w:rsidRPr="005F6276" w:rsidRDefault="00AB63BB" w:rsidP="00AB63BB">
      <w:pPr>
        <w:rPr>
          <w:b/>
          <w:iCs/>
          <w:u w:val="single"/>
        </w:rPr>
      </w:pPr>
      <w:r w:rsidRPr="005F6276">
        <w:rPr>
          <w:b/>
          <w:iCs/>
          <w:highlight w:val="green"/>
          <w:u w:val="single"/>
        </w:rPr>
        <w:t>Agreement:</w:t>
      </w:r>
    </w:p>
    <w:p w14:paraId="4F8F516F" w14:textId="77777777" w:rsidR="00AB63BB" w:rsidRPr="00E766EF" w:rsidRDefault="00AB63BB" w:rsidP="000D1B11">
      <w:pPr>
        <w:numPr>
          <w:ilvl w:val="0"/>
          <w:numId w:val="17"/>
        </w:numPr>
        <w:overflowPunct/>
        <w:autoSpaceDE/>
        <w:autoSpaceDN/>
        <w:adjustRightInd/>
        <w:spacing w:after="0"/>
        <w:jc w:val="left"/>
        <w:textAlignment w:val="auto"/>
        <w:rPr>
          <w:i/>
          <w:iCs/>
        </w:rPr>
      </w:pPr>
      <w:r w:rsidRPr="00FE6DDA">
        <w:t xml:space="preserve">If the sum total duration of DL and UL </w:t>
      </w:r>
      <w:r w:rsidRPr="00C23B9E">
        <w:t xml:space="preserve">transmissions </w:t>
      </w:r>
      <w:r w:rsidRPr="005F6276">
        <w:t>[and UL LBT]</w:t>
      </w:r>
      <w:r w:rsidRPr="00C23B9E">
        <w:t xml:space="preserve"> is less than the obtained channel occupancy duration, it is sufficient for the UE(s) to perform a single 25us LBT to access the channel and perform UL transmission</w:t>
      </w:r>
    </w:p>
    <w:p w14:paraId="4833EF3B" w14:textId="77777777" w:rsidR="00AB63BB" w:rsidRPr="00334E95" w:rsidRDefault="00AB63BB" w:rsidP="000D1B11">
      <w:pPr>
        <w:numPr>
          <w:ilvl w:val="1"/>
          <w:numId w:val="17"/>
        </w:numPr>
        <w:overflowPunct/>
        <w:autoSpaceDE/>
        <w:autoSpaceDN/>
        <w:adjustRightInd/>
        <w:spacing w:after="0"/>
        <w:jc w:val="left"/>
        <w:textAlignment w:val="auto"/>
        <w:rPr>
          <w:i/>
          <w:iCs/>
        </w:rPr>
      </w:pPr>
      <w:r w:rsidRPr="00334E95">
        <w:t>FFS the conditions, if any, on the usage of 25us LBT especially w.r.t. traffic class</w:t>
      </w:r>
    </w:p>
    <w:p w14:paraId="0B6D9775" w14:textId="77777777" w:rsidR="00AB63BB" w:rsidRPr="00C23B9E" w:rsidRDefault="00AB63BB" w:rsidP="000D1B11">
      <w:pPr>
        <w:numPr>
          <w:ilvl w:val="1"/>
          <w:numId w:val="17"/>
        </w:numPr>
        <w:overflowPunct/>
        <w:autoSpaceDE/>
        <w:autoSpaceDN/>
        <w:adjustRightInd/>
        <w:spacing w:after="0"/>
        <w:jc w:val="left"/>
        <w:textAlignment w:val="auto"/>
        <w:rPr>
          <w:i/>
          <w:iCs/>
        </w:rPr>
      </w:pPr>
      <w:r w:rsidRPr="004E2DF6">
        <w:t xml:space="preserve">FFS the </w:t>
      </w:r>
      <w:r w:rsidRPr="005F6276">
        <w:t>[…]</w:t>
      </w:r>
      <w:r w:rsidRPr="00C23B9E">
        <w:t xml:space="preserve"> part</w:t>
      </w:r>
    </w:p>
    <w:p w14:paraId="065821FF" w14:textId="77777777" w:rsidR="00AB63BB" w:rsidRDefault="00AB63BB" w:rsidP="00AB63BB">
      <w:pPr>
        <w:pStyle w:val="BodyText"/>
        <w:spacing w:after="0"/>
        <w:rPr>
          <w:b/>
          <w:bCs/>
        </w:rPr>
      </w:pPr>
    </w:p>
    <w:p w14:paraId="7E1CF9D7" w14:textId="77777777" w:rsidR="00AB63BB" w:rsidRPr="005F6276" w:rsidRDefault="00AB63BB" w:rsidP="00AB63BB">
      <w:pPr>
        <w:rPr>
          <w:b/>
          <w:iCs/>
          <w:u w:val="single"/>
        </w:rPr>
      </w:pPr>
      <w:r w:rsidRPr="005F6276">
        <w:rPr>
          <w:b/>
          <w:iCs/>
          <w:highlight w:val="green"/>
          <w:u w:val="single"/>
        </w:rPr>
        <w:t>Agreement:</w:t>
      </w:r>
    </w:p>
    <w:p w14:paraId="38A9B4E0" w14:textId="77777777" w:rsidR="00AB63BB" w:rsidRPr="00CA37A3" w:rsidRDefault="00AB63BB" w:rsidP="000D1B11">
      <w:pPr>
        <w:numPr>
          <w:ilvl w:val="0"/>
          <w:numId w:val="19"/>
        </w:numPr>
        <w:overflowPunct/>
        <w:autoSpaceDE/>
        <w:autoSpaceDN/>
        <w:adjustRightInd/>
        <w:spacing w:after="0"/>
        <w:jc w:val="left"/>
        <w:textAlignment w:val="auto"/>
        <w:rPr>
          <w:strike/>
          <w:sz w:val="18"/>
        </w:rPr>
      </w:pPr>
      <w:r w:rsidRPr="00CA37A3">
        <w:rPr>
          <w:szCs w:val="22"/>
        </w:rPr>
        <w:t>UL grant only transmission by eNB based on Rel-13 Cat-4 LBT priority class is supported.</w:t>
      </w:r>
    </w:p>
    <w:p w14:paraId="618CD44F" w14:textId="77777777" w:rsidR="00AB63BB" w:rsidRDefault="00AB63BB" w:rsidP="000D1B11">
      <w:pPr>
        <w:numPr>
          <w:ilvl w:val="0"/>
          <w:numId w:val="18"/>
        </w:numPr>
        <w:overflowPunct/>
        <w:autoSpaceDE/>
        <w:autoSpaceDN/>
        <w:adjustRightInd/>
        <w:spacing w:after="0"/>
        <w:jc w:val="left"/>
        <w:textAlignment w:val="auto"/>
        <w:rPr>
          <w:sz w:val="18"/>
        </w:rPr>
      </w:pPr>
      <w:r w:rsidRPr="00CA37A3">
        <w:rPr>
          <w:szCs w:val="22"/>
        </w:rPr>
        <w:t>FFS: UL grant only transmission by eNB based on a 25 µs CCA is supported.</w:t>
      </w:r>
      <w:r w:rsidRPr="00CA37A3">
        <w:rPr>
          <w:sz w:val="18"/>
        </w:rPr>
        <w:t xml:space="preserve"> </w:t>
      </w:r>
    </w:p>
    <w:p w14:paraId="72B9B9DB" w14:textId="77777777" w:rsidR="00AB63BB" w:rsidRPr="00451500" w:rsidRDefault="00AB63BB" w:rsidP="000D1B11">
      <w:pPr>
        <w:numPr>
          <w:ilvl w:val="1"/>
          <w:numId w:val="18"/>
        </w:numPr>
        <w:overflowPunct/>
        <w:autoSpaceDE/>
        <w:autoSpaceDN/>
        <w:adjustRightInd/>
        <w:spacing w:after="0"/>
        <w:jc w:val="left"/>
        <w:textAlignment w:val="auto"/>
        <w:rPr>
          <w:sz w:val="18"/>
          <w:szCs w:val="24"/>
        </w:rPr>
      </w:pPr>
      <w:proofErr w:type="gramStart"/>
      <w:r w:rsidRPr="00451500">
        <w:rPr>
          <w:szCs w:val="22"/>
        </w:rPr>
        <w:t>eNB</w:t>
      </w:r>
      <w:proofErr w:type="gramEnd"/>
      <w:r w:rsidRPr="00451500">
        <w:rPr>
          <w:szCs w:val="22"/>
        </w:rPr>
        <w:t xml:space="preserve"> can choose between Cat-4 or 25  µs  CCA LBT.</w:t>
      </w:r>
    </w:p>
    <w:p w14:paraId="37E3BB2A" w14:textId="77777777" w:rsidR="00AB63BB" w:rsidRDefault="00AB63BB" w:rsidP="00A5462F">
      <w:pPr>
        <w:pStyle w:val="BodyText"/>
        <w:spacing w:after="0"/>
        <w:rPr>
          <w:bCs/>
        </w:rPr>
      </w:pPr>
    </w:p>
    <w:p w14:paraId="4799679F" w14:textId="48AD6587" w:rsidR="0059060D" w:rsidRDefault="00A5462F" w:rsidP="00232192">
      <w:pPr>
        <w:pStyle w:val="BodyText"/>
        <w:spacing w:after="0"/>
        <w:rPr>
          <w:lang w:val="en-US"/>
        </w:rPr>
      </w:pPr>
      <w:r>
        <w:rPr>
          <w:bCs/>
        </w:rPr>
        <w:t>The follow up email discussion [84</w:t>
      </w:r>
      <w:r w:rsidR="00F27EEC">
        <w:rPr>
          <w:bCs/>
        </w:rPr>
        <w:t>b-0</w:t>
      </w:r>
      <w:r>
        <w:rPr>
          <w:bCs/>
        </w:rPr>
        <w:t>6] provided an opportunity to discuss UL channel access in detail. In our companion contributions, we pr</w:t>
      </w:r>
      <w:r w:rsidR="00A93A60">
        <w:rPr>
          <w:bCs/>
        </w:rPr>
        <w:t xml:space="preserve">esent the system performance </w:t>
      </w:r>
      <w:r w:rsidR="004E64B0">
        <w:rPr>
          <w:bCs/>
        </w:rPr>
        <w:t xml:space="preserve">evaluation results </w:t>
      </w:r>
      <w:r w:rsidR="00AF3715">
        <w:rPr>
          <w:bCs/>
        </w:rPr>
        <w:fldChar w:fldCharType="begin"/>
      </w:r>
      <w:r w:rsidR="00AF3715">
        <w:rPr>
          <w:bCs/>
        </w:rPr>
        <w:instrText xml:space="preserve"> REF _Ref450900555 \n \h </w:instrText>
      </w:r>
      <w:r w:rsidR="00AF3715">
        <w:rPr>
          <w:bCs/>
        </w:rPr>
      </w:r>
      <w:r w:rsidR="00AF3715">
        <w:rPr>
          <w:bCs/>
        </w:rPr>
        <w:fldChar w:fldCharType="separate"/>
      </w:r>
      <w:r w:rsidR="00AF3715">
        <w:rPr>
          <w:bCs/>
        </w:rPr>
        <w:t>[3]</w:t>
      </w:r>
      <w:r w:rsidR="00AF3715">
        <w:rPr>
          <w:bCs/>
        </w:rPr>
        <w:fldChar w:fldCharType="end"/>
      </w:r>
      <w:r>
        <w:rPr>
          <w:bCs/>
        </w:rPr>
        <w:t xml:space="preserve">. In this contribution, we discuss the key aspects of UL channel access and present some proposals on </w:t>
      </w:r>
      <w:r w:rsidR="004E64B0">
        <w:rPr>
          <w:bCs/>
        </w:rPr>
        <w:t xml:space="preserve">the </w:t>
      </w:r>
      <w:r>
        <w:rPr>
          <w:bCs/>
        </w:rPr>
        <w:t>UL channel access procedures.</w:t>
      </w:r>
      <w:r w:rsidR="007B216A">
        <w:rPr>
          <w:bCs/>
        </w:rPr>
        <w:t xml:space="preserve"> Some signalling that may be required between eNBs and the UEs for the purpose of channel access </w:t>
      </w:r>
      <w:r w:rsidR="00A93A60">
        <w:rPr>
          <w:bCs/>
        </w:rPr>
        <w:t xml:space="preserve">as well as our view on LBT for only UL grant transmission and conditions for no LBT operations </w:t>
      </w:r>
      <w:r w:rsidR="007B216A">
        <w:rPr>
          <w:bCs/>
        </w:rPr>
        <w:t>are discussed in</w:t>
      </w:r>
      <w:r w:rsidR="00A93A60">
        <w:rPr>
          <w:bCs/>
        </w:rPr>
        <w:t xml:space="preserve"> </w:t>
      </w:r>
      <w:r w:rsidR="00AF3715">
        <w:rPr>
          <w:bCs/>
        </w:rPr>
        <w:fldChar w:fldCharType="begin"/>
      </w:r>
      <w:r w:rsidR="00AF3715">
        <w:rPr>
          <w:bCs/>
        </w:rPr>
        <w:instrText xml:space="preserve"> REF _Ref450900565 \n \h </w:instrText>
      </w:r>
      <w:r w:rsidR="00AF3715">
        <w:rPr>
          <w:bCs/>
        </w:rPr>
      </w:r>
      <w:r w:rsidR="00AF3715">
        <w:rPr>
          <w:bCs/>
        </w:rPr>
        <w:fldChar w:fldCharType="separate"/>
      </w:r>
      <w:r w:rsidR="00AF3715">
        <w:rPr>
          <w:bCs/>
        </w:rPr>
        <w:t>[4]</w:t>
      </w:r>
      <w:r w:rsidR="00AF3715">
        <w:rPr>
          <w:bCs/>
        </w:rPr>
        <w:fldChar w:fldCharType="end"/>
      </w:r>
      <w:r w:rsidR="00AF3715">
        <w:rPr>
          <w:bCs/>
        </w:rPr>
        <w:fldChar w:fldCharType="begin"/>
      </w:r>
      <w:r w:rsidR="00AF3715">
        <w:rPr>
          <w:bCs/>
        </w:rPr>
        <w:instrText xml:space="preserve"> REF _Ref450900567 \n \h </w:instrText>
      </w:r>
      <w:r w:rsidR="00AF3715">
        <w:rPr>
          <w:bCs/>
        </w:rPr>
      </w:r>
      <w:r w:rsidR="00AF3715">
        <w:rPr>
          <w:bCs/>
        </w:rPr>
        <w:fldChar w:fldCharType="separate"/>
      </w:r>
      <w:r w:rsidR="00AF3715">
        <w:rPr>
          <w:bCs/>
        </w:rPr>
        <w:t>[5]</w:t>
      </w:r>
      <w:r w:rsidR="00AF3715">
        <w:rPr>
          <w:bCs/>
        </w:rPr>
        <w:fldChar w:fldCharType="end"/>
      </w:r>
      <w:r w:rsidR="00AF3715">
        <w:rPr>
          <w:bCs/>
        </w:rPr>
        <w:fldChar w:fldCharType="begin"/>
      </w:r>
      <w:r w:rsidR="00AF3715">
        <w:rPr>
          <w:bCs/>
        </w:rPr>
        <w:instrText xml:space="preserve"> REF _Ref450900568 \n \h </w:instrText>
      </w:r>
      <w:r w:rsidR="00AF3715">
        <w:rPr>
          <w:bCs/>
        </w:rPr>
      </w:r>
      <w:r w:rsidR="00AF3715">
        <w:rPr>
          <w:bCs/>
        </w:rPr>
        <w:fldChar w:fldCharType="separate"/>
      </w:r>
      <w:r w:rsidR="00AF3715">
        <w:rPr>
          <w:bCs/>
        </w:rPr>
        <w:t>[6]</w:t>
      </w:r>
      <w:r w:rsidR="00AF3715">
        <w:rPr>
          <w:bCs/>
        </w:rPr>
        <w:fldChar w:fldCharType="end"/>
      </w:r>
      <w:r w:rsidR="0025561B">
        <w:rPr>
          <w:bCs/>
        </w:rPr>
        <w:t>.</w:t>
      </w:r>
    </w:p>
    <w:p w14:paraId="41A5390D" w14:textId="18858829" w:rsidR="00FD15DB" w:rsidRDefault="0059060D" w:rsidP="00977098">
      <w:pPr>
        <w:pStyle w:val="Heading1"/>
        <w:rPr>
          <w:lang w:val="en-US"/>
        </w:rPr>
      </w:pPr>
      <w:r>
        <w:rPr>
          <w:lang w:val="en-US"/>
        </w:rPr>
        <w:t>Discussion</w:t>
      </w:r>
    </w:p>
    <w:p w14:paraId="02F80530" w14:textId="7FEBB8AF" w:rsidR="00C4487A" w:rsidRDefault="00C4487A" w:rsidP="00C4487A">
      <w:pPr>
        <w:pStyle w:val="Heading2"/>
      </w:pPr>
      <w:r>
        <w:t>Channel Occupancy Sharing</w:t>
      </w:r>
    </w:p>
    <w:p w14:paraId="40FD3C1B" w14:textId="5A523B0A" w:rsidR="002F5CC2" w:rsidRDefault="002F5CC2" w:rsidP="002F5CC2">
      <w:pPr>
        <w:pStyle w:val="BodyText"/>
      </w:pPr>
      <w:r>
        <w:t>When an eNB performs an exponential random backoff or Cat 4 LBT with a given MCOT and acquires access to the channel, it is legitimate to share its channel occupancy with its UEs up to the MCOT limit. This functionality is a fundamental principle of Wi-Fi operation and it makes sense to be considered for LAA where LAA UEs have limited opportunity to access the channel.</w:t>
      </w:r>
      <w:r w:rsidRPr="00414376">
        <w:t xml:space="preserve"> </w:t>
      </w:r>
      <w:r>
        <w:t xml:space="preserve">Moreover it is in line with the discussions in ETSI BRAN </w:t>
      </w:r>
      <w:r w:rsidR="00C4487A">
        <w:t xml:space="preserve">on which </w:t>
      </w:r>
      <w:r>
        <w:t>some more detail</w:t>
      </w:r>
      <w:r w:rsidR="00C4487A">
        <w:t>s are provided in the following.</w:t>
      </w:r>
    </w:p>
    <w:p w14:paraId="4DF7A18A" w14:textId="3A92016D" w:rsidR="002F5CC2" w:rsidRDefault="002F5CC2" w:rsidP="002F5CC2">
      <w:pPr>
        <w:pStyle w:val="BodyText"/>
      </w:pPr>
      <w:r>
        <w:t xml:space="preserve">When a node initiates </w:t>
      </w:r>
      <w:proofErr w:type="gramStart"/>
      <w:r w:rsidR="00AF3715">
        <w:t>a channel</w:t>
      </w:r>
      <w:proofErr w:type="gramEnd"/>
      <w:r>
        <w:t xml:space="preserve"> occupancy or</w:t>
      </w:r>
      <w:r w:rsidR="007B216A">
        <w:t>,</w:t>
      </w:r>
      <w:r>
        <w:t xml:space="preserve"> in other words a transmission</w:t>
      </w:r>
      <w:r w:rsidR="007B216A">
        <w:t>,</w:t>
      </w:r>
      <w:r>
        <w:t xml:space="preserve"> by performing an exponential random backoff, it is allowed to share its channel occupa</w:t>
      </w:r>
      <w:r w:rsidR="007B216A">
        <w:t xml:space="preserve">ncy with other nodes, </w:t>
      </w:r>
      <w:r>
        <w:t xml:space="preserve">referred to as </w:t>
      </w:r>
      <w:r w:rsidR="007B216A">
        <w:t xml:space="preserve">responding nodes. This is a core principle of Wi-Fi operation where an AP that can share its channel occupancy with its STAs. Similarly, </w:t>
      </w:r>
      <w:r>
        <w:t>an eNB can share it</w:t>
      </w:r>
      <w:r w:rsidR="007B216A">
        <w:t>s</w:t>
      </w:r>
      <w:r>
        <w:t xml:space="preserve"> channel occupancy with its UEs. The corresponding rules</w:t>
      </w:r>
      <w:r w:rsidR="007B216A">
        <w:t>,</w:t>
      </w:r>
      <w:r>
        <w:t xml:space="preserve"> in line with the ETSI BRAN discussions</w:t>
      </w:r>
      <w:r w:rsidR="00AF3715">
        <w:t xml:space="preserve"> </w:t>
      </w:r>
      <w:r w:rsidR="00AF3715">
        <w:fldChar w:fldCharType="begin"/>
      </w:r>
      <w:r w:rsidR="00AF3715">
        <w:instrText xml:space="preserve"> REF _Ref447194991 \n \h </w:instrText>
      </w:r>
      <w:r w:rsidR="00AF3715">
        <w:fldChar w:fldCharType="separate"/>
      </w:r>
      <w:r w:rsidR="00AF3715">
        <w:t>[7]</w:t>
      </w:r>
      <w:r w:rsidR="00AF3715">
        <w:fldChar w:fldCharType="end"/>
      </w:r>
      <w:r w:rsidR="007B216A">
        <w:t>,</w:t>
      </w:r>
      <w:r>
        <w:t xml:space="preserve"> imply that gaps between these transmissions are allowed. Moreover if a gap is within 16 µs, the transmission after the gap can occur without channel sensing</w:t>
      </w:r>
      <w:r w:rsidR="007B216A">
        <w:t>. F</w:t>
      </w:r>
      <w:r>
        <w:t>or larger gaps</w:t>
      </w:r>
      <w:r w:rsidR="007B216A">
        <w:t>,</w:t>
      </w:r>
      <w:r>
        <w:t xml:space="preserve"> an LBT based on a CCA of at least 25 µs is required prior to transmission. Moreover the rules require that the total channel occupancy by the initiating and responding nodes, i.e. DL and UL transmissions in case of LAA shall not exceed the corr</w:t>
      </w:r>
      <w:r w:rsidR="007B216A">
        <w:t xml:space="preserve">esponding MCOT. Note that </w:t>
      </w:r>
      <w:r>
        <w:t>gaps larger</w:t>
      </w:r>
      <w:r w:rsidR="007B216A">
        <w:t xml:space="preserve"> than 25 µs</w:t>
      </w:r>
      <w:r>
        <w:t xml:space="preserve"> </w:t>
      </w:r>
      <w:r w:rsidR="007B216A">
        <w:t xml:space="preserve">are allowed, but any gap larger than 16 µs </w:t>
      </w:r>
      <w:r>
        <w:t xml:space="preserve">shall not be included in the total channel occupancy.  </w:t>
      </w:r>
    </w:p>
    <w:p w14:paraId="73E1AE7D" w14:textId="1B2AA783" w:rsidR="00EA1A7C" w:rsidRPr="00AF3715" w:rsidRDefault="002F5CC2" w:rsidP="00AF3715">
      <w:pPr>
        <w:pStyle w:val="BodyText"/>
      </w:pPr>
      <w:r>
        <w:t>In practice, an eNB may schedule a UE where its transmission falls outside the MC</w:t>
      </w:r>
      <w:r w:rsidR="007B216A">
        <w:t>OT restrictions described above.</w:t>
      </w:r>
      <w:r>
        <w:t xml:space="preserve"> </w:t>
      </w:r>
      <w:r w:rsidR="007B216A">
        <w:t>In this case, the eNB may direct the UE to</w:t>
      </w:r>
      <w:r>
        <w:t xml:space="preserve"> perform a Cat 4 LBT prior to its transmission. However the scheduling is completely in control of eNB and the responsibility to meet these MCOT requirements is up to </w:t>
      </w:r>
      <w:r>
        <w:lastRenderedPageBreak/>
        <w:t>the eNB. Therefore the specification should allow the eNB to signal to the UE whether 25</w:t>
      </w:r>
      <w:r w:rsidRPr="002F79FD">
        <w:t xml:space="preserve"> </w:t>
      </w:r>
      <w:r>
        <w:t>µs or Cat 4 LBT is to be used for any particular subframe as we discuss more in details in our companion contribution</w:t>
      </w:r>
      <w:r w:rsidR="00AF3715">
        <w:t xml:space="preserve"> </w:t>
      </w:r>
      <w:r w:rsidR="00AF3715">
        <w:fldChar w:fldCharType="begin"/>
      </w:r>
      <w:r w:rsidR="00AF3715">
        <w:instrText xml:space="preserve"> REF _Ref450900565 \n \h </w:instrText>
      </w:r>
      <w:r w:rsidR="00AF3715">
        <w:fldChar w:fldCharType="separate"/>
      </w:r>
      <w:r w:rsidR="00AF3715">
        <w:t>[4]</w:t>
      </w:r>
      <w:r w:rsidR="00AF3715">
        <w:fldChar w:fldCharType="end"/>
      </w:r>
      <w:r>
        <w:t xml:space="preserve">. </w:t>
      </w:r>
    </w:p>
    <w:p w14:paraId="359426EC" w14:textId="3578D93C" w:rsidR="00BA2B7A" w:rsidRDefault="00BA2B7A" w:rsidP="00BA2B7A">
      <w:pPr>
        <w:pStyle w:val="BodyText"/>
        <w:spacing w:after="0"/>
        <w:rPr>
          <w:bCs/>
        </w:rPr>
      </w:pPr>
      <w:r>
        <w:rPr>
          <w:bCs/>
        </w:rPr>
        <w:t>Moreover in the previous meeting the shared MCOT concept based on the agreements in ETSI BRAN to accommodate LAA UL operation in the unlicensed spectrum due to scheduling delay and scheduled transmission was intensively discussed</w:t>
      </w:r>
      <w:r w:rsidR="002A083D">
        <w:rPr>
          <w:bCs/>
        </w:rPr>
        <w:t xml:space="preserve"> </w:t>
      </w:r>
      <w:r w:rsidR="002A083D">
        <w:rPr>
          <w:bCs/>
        </w:rPr>
        <w:fldChar w:fldCharType="begin"/>
      </w:r>
      <w:r w:rsidR="002A083D">
        <w:rPr>
          <w:bCs/>
        </w:rPr>
        <w:instrText xml:space="preserve"> REF _Ref450776034 \n \h </w:instrText>
      </w:r>
      <w:r w:rsidR="002A083D">
        <w:rPr>
          <w:bCs/>
        </w:rPr>
      </w:r>
      <w:r w:rsidR="002A083D">
        <w:rPr>
          <w:bCs/>
        </w:rPr>
        <w:fldChar w:fldCharType="separate"/>
      </w:r>
      <w:r w:rsidR="002A083D">
        <w:rPr>
          <w:bCs/>
        </w:rPr>
        <w:t>[8]</w:t>
      </w:r>
      <w:r w:rsidR="002A083D">
        <w:rPr>
          <w:bCs/>
        </w:rPr>
        <w:fldChar w:fldCharType="end"/>
      </w:r>
      <w:r w:rsidR="002A083D">
        <w:rPr>
          <w:bCs/>
        </w:rPr>
        <w:fldChar w:fldCharType="begin"/>
      </w:r>
      <w:r w:rsidR="002A083D">
        <w:rPr>
          <w:bCs/>
        </w:rPr>
        <w:instrText xml:space="preserve"> REF _Ref450776036 \n \h </w:instrText>
      </w:r>
      <w:r w:rsidR="002A083D">
        <w:rPr>
          <w:bCs/>
        </w:rPr>
      </w:r>
      <w:r w:rsidR="002A083D">
        <w:rPr>
          <w:bCs/>
        </w:rPr>
        <w:fldChar w:fldCharType="separate"/>
      </w:r>
      <w:r w:rsidR="002A083D">
        <w:rPr>
          <w:bCs/>
        </w:rPr>
        <w:t>[9]</w:t>
      </w:r>
      <w:r w:rsidR="002A083D">
        <w:rPr>
          <w:bCs/>
        </w:rPr>
        <w:fldChar w:fldCharType="end"/>
      </w:r>
      <w:r>
        <w:rPr>
          <w:bCs/>
        </w:rPr>
        <w:t>. The proposal further discussed during the email discussion [84b-06] and the discussion resulted in the following agreement revised following proposal:</w:t>
      </w:r>
    </w:p>
    <w:p w14:paraId="7027DEF3" w14:textId="77777777" w:rsidR="00BA2B7A" w:rsidRDefault="00BA2B7A" w:rsidP="00BA2B7A">
      <w:pPr>
        <w:pStyle w:val="BodyText"/>
        <w:spacing w:after="0"/>
        <w:rPr>
          <w:bCs/>
        </w:rPr>
      </w:pPr>
    </w:p>
    <w:p w14:paraId="44A106E4" w14:textId="247649BA" w:rsidR="00BA2B7A" w:rsidRDefault="00BA2B7A" w:rsidP="00BA2B7A">
      <w:pPr>
        <w:pStyle w:val="BodyText"/>
        <w:spacing w:after="0"/>
        <w:rPr>
          <w:b/>
          <w:bCs/>
        </w:rPr>
      </w:pPr>
      <w:r>
        <w:rPr>
          <w:b/>
          <w:bCs/>
        </w:rPr>
        <w:t>Proposal</w:t>
      </w:r>
      <w:r w:rsidRPr="00C875FA">
        <w:rPr>
          <w:b/>
          <w:bCs/>
        </w:rPr>
        <w:t>:</w:t>
      </w:r>
    </w:p>
    <w:p w14:paraId="709220FB" w14:textId="77777777" w:rsidR="00BA2B7A" w:rsidRPr="005F6276" w:rsidRDefault="00BA2B7A" w:rsidP="00BA2B7A">
      <w:pPr>
        <w:pStyle w:val="BodyText"/>
        <w:spacing w:after="0"/>
        <w:ind w:left="360"/>
        <w:rPr>
          <w:b/>
          <w:bCs/>
        </w:rPr>
      </w:pPr>
    </w:p>
    <w:p w14:paraId="31083A51" w14:textId="77777777" w:rsidR="00BA2B7A" w:rsidRPr="00AB63BB" w:rsidRDefault="00BA2B7A" w:rsidP="000D1B11">
      <w:pPr>
        <w:pStyle w:val="BodyText"/>
        <w:numPr>
          <w:ilvl w:val="0"/>
          <w:numId w:val="14"/>
        </w:numPr>
        <w:overflowPunct/>
        <w:autoSpaceDE/>
        <w:autoSpaceDN/>
        <w:adjustRightInd/>
        <w:spacing w:after="0"/>
        <w:textAlignment w:val="auto"/>
        <w:rPr>
          <w:bCs/>
        </w:rPr>
      </w:pPr>
      <w:r w:rsidRPr="00AB63BB">
        <w:rPr>
          <w:bCs/>
        </w:rPr>
        <w:t xml:space="preserve">For the DL and UL transmissions occurring on the same channel, an eNB starting the DL transmission based on a Cat 4 LBT with a given MCOT, can share its channel occupancy with its UEs such that the total transmission duration by the eNB and UEs does not exceed the MCOT limit. </w:t>
      </w:r>
    </w:p>
    <w:p w14:paraId="23B1F5F1" w14:textId="77777777" w:rsidR="00BA2B7A" w:rsidRPr="00AB63BB" w:rsidRDefault="00BA2B7A" w:rsidP="000D1B11">
      <w:pPr>
        <w:pStyle w:val="BodyText"/>
        <w:numPr>
          <w:ilvl w:val="1"/>
          <w:numId w:val="14"/>
        </w:numPr>
        <w:overflowPunct/>
        <w:autoSpaceDE/>
        <w:autoSpaceDN/>
        <w:adjustRightInd/>
        <w:spacing w:after="0"/>
        <w:textAlignment w:val="auto"/>
        <w:rPr>
          <w:bCs/>
        </w:rPr>
      </w:pPr>
      <w:r w:rsidRPr="00AB63BB">
        <w:rPr>
          <w:bCs/>
        </w:rPr>
        <w:t>Any gap between two consecutive transmissions that is larger than 25 µs shall not be included in the total transmission duration.</w:t>
      </w:r>
    </w:p>
    <w:p w14:paraId="7D34E115" w14:textId="77777777" w:rsidR="00BA2B7A" w:rsidRPr="00AB63BB" w:rsidRDefault="00BA2B7A" w:rsidP="000D1B11">
      <w:pPr>
        <w:pStyle w:val="BodyText"/>
        <w:numPr>
          <w:ilvl w:val="1"/>
          <w:numId w:val="14"/>
        </w:numPr>
        <w:overflowPunct/>
        <w:autoSpaceDE/>
        <w:autoSpaceDN/>
        <w:adjustRightInd/>
        <w:spacing w:after="0"/>
        <w:textAlignment w:val="auto"/>
        <w:rPr>
          <w:bCs/>
        </w:rPr>
      </w:pPr>
      <w:r w:rsidRPr="00AB63BB">
        <w:rPr>
          <w:bCs/>
        </w:rPr>
        <w:t>[</w:t>
      </w:r>
      <w:r w:rsidRPr="00AB63BB">
        <w:rPr>
          <w:bCs/>
          <w:highlight w:val="green"/>
        </w:rPr>
        <w:t>Agreement</w:t>
      </w:r>
      <w:r w:rsidRPr="00AB63BB">
        <w:rPr>
          <w:bCs/>
        </w:rPr>
        <w:t xml:space="preserve">: An LBT based on a 25 µs CCA can be performed for any of the new UL transmission within the MCOT limit.] </w:t>
      </w:r>
      <w:proofErr w:type="gramStart"/>
      <w:r w:rsidRPr="00AB63BB">
        <w:rPr>
          <w:bCs/>
        </w:rPr>
        <w:t>and</w:t>
      </w:r>
      <w:proofErr w:type="gramEnd"/>
      <w:r w:rsidRPr="00AB63BB">
        <w:rPr>
          <w:bCs/>
        </w:rPr>
        <w:t xml:space="preserve"> shall take place immediately prior to the UL transmission.</w:t>
      </w:r>
    </w:p>
    <w:p w14:paraId="70ABEE38" w14:textId="77777777" w:rsidR="00BA2B7A" w:rsidRPr="00AB63BB" w:rsidRDefault="00BA2B7A" w:rsidP="000D1B11">
      <w:pPr>
        <w:pStyle w:val="BodyText"/>
        <w:numPr>
          <w:ilvl w:val="1"/>
          <w:numId w:val="14"/>
        </w:numPr>
        <w:overflowPunct/>
        <w:autoSpaceDE/>
        <w:autoSpaceDN/>
        <w:adjustRightInd/>
        <w:spacing w:after="0"/>
        <w:textAlignment w:val="auto"/>
        <w:rPr>
          <w:bCs/>
        </w:rPr>
      </w:pPr>
      <w:r w:rsidRPr="00AB63BB">
        <w:rPr>
          <w:bCs/>
        </w:rPr>
        <w:t>The eNB shall ensure that the total duration of the transmissions that occur between the start times of transmissions following two successive Category 4 LBT procedures, is less than or equal to the MCOT</w:t>
      </w:r>
    </w:p>
    <w:p w14:paraId="0EDEC379" w14:textId="77777777" w:rsidR="00BA2B7A" w:rsidRPr="00AB63BB" w:rsidRDefault="00BA2B7A" w:rsidP="000D1B11">
      <w:pPr>
        <w:pStyle w:val="BodyText"/>
        <w:numPr>
          <w:ilvl w:val="2"/>
          <w:numId w:val="14"/>
        </w:numPr>
        <w:overflowPunct/>
        <w:autoSpaceDE/>
        <w:autoSpaceDN/>
        <w:adjustRightInd/>
        <w:spacing w:after="0"/>
        <w:textAlignment w:val="auto"/>
        <w:rPr>
          <w:bCs/>
        </w:rPr>
      </w:pPr>
      <w:r w:rsidRPr="00AB63BB">
        <w:rPr>
          <w:bCs/>
        </w:rPr>
        <w:t>The transmissions are from an eNB and all the UEs served by it</w:t>
      </w:r>
    </w:p>
    <w:p w14:paraId="12FDA671" w14:textId="77777777" w:rsidR="00BA2B7A" w:rsidRPr="00AB63BB" w:rsidRDefault="00BA2B7A" w:rsidP="000D1B11">
      <w:pPr>
        <w:pStyle w:val="BodyText"/>
        <w:numPr>
          <w:ilvl w:val="2"/>
          <w:numId w:val="14"/>
        </w:numPr>
        <w:overflowPunct/>
        <w:autoSpaceDE/>
        <w:autoSpaceDN/>
        <w:adjustRightInd/>
        <w:spacing w:after="0"/>
        <w:textAlignment w:val="auto"/>
        <w:rPr>
          <w:bCs/>
        </w:rPr>
      </w:pPr>
      <w:r w:rsidRPr="00AB63BB">
        <w:rPr>
          <w:bCs/>
        </w:rPr>
        <w:t>The successive Category 4 LBT procedures may not be from the same node</w:t>
      </w:r>
    </w:p>
    <w:p w14:paraId="27E6FA58" w14:textId="77777777" w:rsidR="00BA2B7A" w:rsidRPr="00AB63BB" w:rsidRDefault="00BA2B7A" w:rsidP="000D1B11">
      <w:pPr>
        <w:pStyle w:val="BodyText"/>
        <w:numPr>
          <w:ilvl w:val="1"/>
          <w:numId w:val="14"/>
        </w:numPr>
        <w:overflowPunct/>
        <w:autoSpaceDE/>
        <w:autoSpaceDN/>
        <w:adjustRightInd/>
        <w:spacing w:after="0"/>
        <w:textAlignment w:val="auto"/>
        <w:rPr>
          <w:bCs/>
        </w:rPr>
      </w:pPr>
      <w:r w:rsidRPr="00AB63BB">
        <w:rPr>
          <w:bCs/>
        </w:rPr>
        <w:t xml:space="preserve">Within an MCOT limit, the eNB shall ensure that there is no more than one gap that is 4 </w:t>
      </w:r>
      <w:proofErr w:type="spellStart"/>
      <w:r w:rsidRPr="00AB63BB">
        <w:rPr>
          <w:bCs/>
        </w:rPr>
        <w:t>ms</w:t>
      </w:r>
      <w:proofErr w:type="spellEnd"/>
      <w:r w:rsidRPr="00AB63BB">
        <w:rPr>
          <w:bCs/>
        </w:rPr>
        <w:t xml:space="preserve"> or greater due to the grant to transmission delay</w:t>
      </w:r>
    </w:p>
    <w:p w14:paraId="631ECBC5" w14:textId="77777777" w:rsidR="00BA2B7A" w:rsidRPr="00AB63BB" w:rsidRDefault="00BA2B7A" w:rsidP="000D1B11">
      <w:pPr>
        <w:pStyle w:val="BodyText"/>
        <w:numPr>
          <w:ilvl w:val="2"/>
          <w:numId w:val="14"/>
        </w:numPr>
        <w:overflowPunct/>
        <w:autoSpaceDE/>
        <w:autoSpaceDN/>
        <w:adjustRightInd/>
        <w:spacing w:after="0"/>
        <w:textAlignment w:val="auto"/>
        <w:rPr>
          <w:bCs/>
        </w:rPr>
      </w:pPr>
      <w:r w:rsidRPr="00AB63BB">
        <w:rPr>
          <w:bCs/>
        </w:rPr>
        <w:t>Note: There can be gaps due to LBT failures at the UE between the UL subframes in which transmissions occur</w:t>
      </w:r>
    </w:p>
    <w:p w14:paraId="2F7C418C" w14:textId="77777777" w:rsidR="00BA2B7A" w:rsidRPr="00AB63BB" w:rsidRDefault="00BA2B7A" w:rsidP="000D1B11">
      <w:pPr>
        <w:pStyle w:val="BodyText"/>
        <w:numPr>
          <w:ilvl w:val="2"/>
          <w:numId w:val="14"/>
        </w:numPr>
        <w:overflowPunct/>
        <w:autoSpaceDE/>
        <w:autoSpaceDN/>
        <w:adjustRightInd/>
        <w:spacing w:after="0"/>
        <w:textAlignment w:val="auto"/>
        <w:rPr>
          <w:bCs/>
        </w:rPr>
      </w:pPr>
      <w:r w:rsidRPr="00AB63BB">
        <w:rPr>
          <w:bCs/>
        </w:rPr>
        <w:t>Note: There can be gaps for 1 or 2 symbols between the scheduled UL subframes within an MCOT</w:t>
      </w:r>
    </w:p>
    <w:p w14:paraId="4CEB70CC" w14:textId="77777777" w:rsidR="00BA2B7A" w:rsidRPr="00AB63BB" w:rsidRDefault="00BA2B7A" w:rsidP="000D1B11">
      <w:pPr>
        <w:pStyle w:val="BodyText"/>
        <w:numPr>
          <w:ilvl w:val="1"/>
          <w:numId w:val="14"/>
        </w:numPr>
        <w:overflowPunct/>
        <w:autoSpaceDE/>
        <w:autoSpaceDN/>
        <w:adjustRightInd/>
        <w:spacing w:after="0"/>
        <w:textAlignment w:val="auto"/>
        <w:rPr>
          <w:bCs/>
          <w:sz w:val="18"/>
        </w:rPr>
      </w:pPr>
      <w:r w:rsidRPr="00AB63BB">
        <w:rPr>
          <w:szCs w:val="22"/>
        </w:rPr>
        <w:t>The eNB should schedule such that the MCOT limits are met assuming that there is a UL transmission in every scheduled UL subframe.</w:t>
      </w:r>
    </w:p>
    <w:p w14:paraId="7F53333F" w14:textId="77777777" w:rsidR="00BA2B7A" w:rsidRPr="00AB63BB" w:rsidRDefault="00BA2B7A" w:rsidP="000D1B11">
      <w:pPr>
        <w:pStyle w:val="BodyText"/>
        <w:numPr>
          <w:ilvl w:val="0"/>
          <w:numId w:val="14"/>
        </w:numPr>
        <w:overflowPunct/>
        <w:autoSpaceDE/>
        <w:autoSpaceDN/>
        <w:adjustRightInd/>
        <w:spacing w:after="0"/>
        <w:textAlignment w:val="auto"/>
        <w:rPr>
          <w:bCs/>
        </w:rPr>
      </w:pPr>
      <w:r w:rsidRPr="00AB63BB">
        <w:rPr>
          <w:bCs/>
        </w:rPr>
        <w:t xml:space="preserve">FFS multiple transitions between DL and UL, and the associated detailed </w:t>
      </w:r>
      <w:proofErr w:type="spellStart"/>
      <w:r w:rsidRPr="00AB63BB">
        <w:rPr>
          <w:bCs/>
        </w:rPr>
        <w:t>behavior</w:t>
      </w:r>
      <w:proofErr w:type="spellEnd"/>
      <w:r w:rsidRPr="00AB63BB">
        <w:rPr>
          <w:bCs/>
        </w:rPr>
        <w:t xml:space="preserve"> (e.g. allowed gaps and how gaps are counted towards MCOT)</w:t>
      </w:r>
    </w:p>
    <w:p w14:paraId="0CA5357F" w14:textId="77777777" w:rsidR="00E000CE" w:rsidRDefault="00E000CE" w:rsidP="002F5CC2">
      <w:pPr>
        <w:pStyle w:val="ListParagraph"/>
        <w:ind w:left="0"/>
        <w:jc w:val="both"/>
        <w:rPr>
          <w:rFonts w:ascii="Arial" w:hAnsi="Arial" w:cs="Arial"/>
          <w:sz w:val="20"/>
          <w:szCs w:val="20"/>
          <w:lang w:val="en-GB"/>
        </w:rPr>
      </w:pPr>
    </w:p>
    <w:p w14:paraId="1C888492" w14:textId="1EB7EC84" w:rsidR="0004506F" w:rsidRPr="00BA2B7A" w:rsidRDefault="0004506F" w:rsidP="002F5CC2">
      <w:pPr>
        <w:pStyle w:val="ListParagraph"/>
        <w:ind w:left="0"/>
        <w:jc w:val="both"/>
        <w:rPr>
          <w:rFonts w:ascii="Arial" w:hAnsi="Arial" w:cs="Arial"/>
          <w:sz w:val="20"/>
          <w:szCs w:val="20"/>
          <w:lang w:val="en-GB"/>
        </w:rPr>
      </w:pPr>
      <w:r>
        <w:rPr>
          <w:rFonts w:ascii="Arial" w:hAnsi="Arial" w:cs="Arial"/>
          <w:sz w:val="20"/>
          <w:szCs w:val="20"/>
          <w:lang w:val="en-GB"/>
        </w:rPr>
        <w:t>On allowing multiple transitions between DL and UL, it is important to keep in mind that the transmission gaps between the DL transmission that initiated the COT and the DL transmissions occurring within a COT has to be counted in the total channel occupancy. However this feature seems to be beneficial in scenarios that no gap is between the scheduled UL subframes and the DL subframe initiated the COT.</w:t>
      </w:r>
    </w:p>
    <w:p w14:paraId="70291755" w14:textId="50C1DCE6" w:rsidR="00495119" w:rsidRDefault="00495119" w:rsidP="00E000CE">
      <w:pPr>
        <w:pStyle w:val="Heading2"/>
      </w:pPr>
      <w:r>
        <w:t>UL traffic type based on the LBT parameters</w:t>
      </w:r>
    </w:p>
    <w:p w14:paraId="0A6E8AAE" w14:textId="3F1CD0D2" w:rsidR="00495119" w:rsidRDefault="00495119" w:rsidP="00495119">
      <w:r>
        <w:t xml:space="preserve">One of the interesting discussion topics during the email discussion [84b-06] was whether to put </w:t>
      </w:r>
      <w:r w:rsidR="004E64B0">
        <w:t xml:space="preserve">any </w:t>
      </w:r>
      <w:r>
        <w:t xml:space="preserve">restriction on the type of traffic transmitted in the UL due the LBT parameters that are used at UE </w:t>
      </w:r>
      <w:r w:rsidR="008D084F">
        <w:t>or at the e</w:t>
      </w:r>
      <w:r>
        <w:t>NB where an MCOT is initiated and shared by UEs.</w:t>
      </w:r>
    </w:p>
    <w:p w14:paraId="5F60BCB7" w14:textId="35A5A776" w:rsidR="008D084F" w:rsidRDefault="008D084F" w:rsidP="008D084F">
      <w:pPr>
        <w:rPr>
          <w:rFonts w:cs="Arial"/>
          <w:lang w:eastAsia="ja-JP"/>
        </w:rPr>
      </w:pPr>
      <w:r>
        <w:t>We expressed our</w:t>
      </w:r>
      <w:r w:rsidR="00495119">
        <w:t xml:space="preserve"> preference for no</w:t>
      </w:r>
      <w:r>
        <w:t xml:space="preserve">t imposing such restrictions for at least the following reasons: </w:t>
      </w:r>
    </w:p>
    <w:p w14:paraId="62A1E9B4" w14:textId="28BCB127" w:rsidR="008D084F" w:rsidRPr="008D084F" w:rsidRDefault="00BA2B7A" w:rsidP="000D1B11">
      <w:pPr>
        <w:pStyle w:val="ListParagraph"/>
        <w:numPr>
          <w:ilvl w:val="0"/>
          <w:numId w:val="15"/>
        </w:numPr>
        <w:rPr>
          <w:rFonts w:ascii="Arial" w:hAnsi="Arial" w:cs="Arial"/>
          <w:sz w:val="20"/>
          <w:lang w:eastAsia="ja-JP"/>
        </w:rPr>
      </w:pPr>
      <w:r w:rsidRPr="008D084F">
        <w:rPr>
          <w:rFonts w:ascii="Arial" w:hAnsi="Arial" w:cs="Arial"/>
          <w:sz w:val="20"/>
          <w:lang w:eastAsia="ja-JP"/>
        </w:rPr>
        <w:t xml:space="preserve">Restricting UL traffic type based on the LBT parameters implies that the eNB has to dictate to UE what traffic should be sent on the UL. This decision is not within the scope of RAN1 and has a large impact on LCP </w:t>
      </w:r>
      <w:r w:rsidR="008D084F" w:rsidRPr="008D084F">
        <w:rPr>
          <w:rFonts w:ascii="Arial" w:hAnsi="Arial" w:cs="Arial"/>
          <w:sz w:val="20"/>
          <w:lang w:eastAsia="ja-JP"/>
        </w:rPr>
        <w:t xml:space="preserve">(Logical Channel Prioritization) </w:t>
      </w:r>
      <w:r w:rsidRPr="008D084F">
        <w:rPr>
          <w:rFonts w:ascii="Arial" w:hAnsi="Arial" w:cs="Arial"/>
          <w:sz w:val="20"/>
          <w:lang w:eastAsia="ja-JP"/>
        </w:rPr>
        <w:t xml:space="preserve">handling. Also RAN2 </w:t>
      </w:r>
      <w:r w:rsidR="004E64B0">
        <w:rPr>
          <w:rFonts w:ascii="Arial" w:hAnsi="Arial" w:cs="Arial"/>
          <w:sz w:val="20"/>
          <w:lang w:eastAsia="ja-JP"/>
        </w:rPr>
        <w:t xml:space="preserve">the already made decisions </w:t>
      </w:r>
      <w:r w:rsidRPr="008D084F">
        <w:rPr>
          <w:rFonts w:ascii="Arial" w:hAnsi="Arial" w:cs="Arial"/>
          <w:sz w:val="20"/>
          <w:lang w:eastAsia="ja-JP"/>
        </w:rPr>
        <w:t xml:space="preserve">with respect to </w:t>
      </w:r>
      <w:r w:rsidR="008D084F" w:rsidRPr="008D084F">
        <w:rPr>
          <w:rFonts w:ascii="Arial" w:hAnsi="Arial" w:cs="Arial"/>
          <w:sz w:val="20"/>
          <w:lang w:eastAsia="ja-JP"/>
        </w:rPr>
        <w:t xml:space="preserve">handling </w:t>
      </w:r>
      <w:r w:rsidR="004E64B0">
        <w:rPr>
          <w:rFonts w:ascii="Arial" w:hAnsi="Arial" w:cs="Arial"/>
          <w:sz w:val="20"/>
          <w:lang w:eastAsia="ja-JP"/>
        </w:rPr>
        <w:t xml:space="preserve">the </w:t>
      </w:r>
      <w:r w:rsidR="008D084F" w:rsidRPr="008D084F">
        <w:rPr>
          <w:rFonts w:ascii="Arial" w:hAnsi="Arial" w:cs="Arial"/>
          <w:sz w:val="20"/>
          <w:lang w:eastAsia="ja-JP"/>
        </w:rPr>
        <w:t>LCP</w:t>
      </w:r>
      <w:r w:rsidRPr="008D084F">
        <w:rPr>
          <w:rFonts w:ascii="Arial" w:hAnsi="Arial" w:cs="Arial"/>
          <w:sz w:val="20"/>
          <w:lang w:eastAsia="ja-JP"/>
        </w:rPr>
        <w:t xml:space="preserve"> and informed RAN1 via </w:t>
      </w:r>
      <w:r w:rsidR="002A083D">
        <w:rPr>
          <w:rFonts w:ascii="Arial" w:hAnsi="Arial" w:cs="Arial"/>
          <w:sz w:val="20"/>
          <w:lang w:eastAsia="ja-JP"/>
        </w:rPr>
        <w:fldChar w:fldCharType="begin"/>
      </w:r>
      <w:r w:rsidR="002A083D">
        <w:rPr>
          <w:rFonts w:ascii="Arial" w:hAnsi="Arial" w:cs="Arial"/>
          <w:sz w:val="20"/>
          <w:lang w:eastAsia="ja-JP"/>
        </w:rPr>
        <w:instrText xml:space="preserve"> REF _Ref450901015 \n \h </w:instrText>
      </w:r>
      <w:r w:rsidR="002A083D">
        <w:rPr>
          <w:rFonts w:ascii="Arial" w:hAnsi="Arial" w:cs="Arial"/>
          <w:sz w:val="20"/>
          <w:lang w:eastAsia="ja-JP"/>
        </w:rPr>
      </w:r>
      <w:r w:rsidR="002A083D">
        <w:rPr>
          <w:rFonts w:ascii="Arial" w:hAnsi="Arial" w:cs="Arial"/>
          <w:sz w:val="20"/>
          <w:lang w:eastAsia="ja-JP"/>
        </w:rPr>
        <w:fldChar w:fldCharType="separate"/>
      </w:r>
      <w:r w:rsidR="002A083D">
        <w:rPr>
          <w:rFonts w:ascii="Arial" w:hAnsi="Arial" w:cs="Arial"/>
          <w:sz w:val="20"/>
          <w:lang w:eastAsia="ja-JP"/>
        </w:rPr>
        <w:t>[10]</w:t>
      </w:r>
      <w:r w:rsidR="002A083D">
        <w:rPr>
          <w:rFonts w:ascii="Arial" w:hAnsi="Arial" w:cs="Arial"/>
          <w:sz w:val="20"/>
          <w:lang w:eastAsia="ja-JP"/>
        </w:rPr>
        <w:fldChar w:fldCharType="end"/>
      </w:r>
      <w:r w:rsidRPr="008D084F">
        <w:rPr>
          <w:rFonts w:ascii="Arial" w:hAnsi="Arial" w:cs="Arial"/>
          <w:sz w:val="20"/>
          <w:lang w:eastAsia="ja-JP"/>
        </w:rPr>
        <w:t xml:space="preserve"> that “RAN2 agreed that we have defined LCP for multiplexing of UL data and we want to use this unchanged for UL LAA.”</w:t>
      </w:r>
      <w:r w:rsidR="008D084F" w:rsidRPr="008D084F">
        <w:rPr>
          <w:rFonts w:ascii="Arial" w:hAnsi="Arial" w:cs="Arial"/>
          <w:sz w:val="20"/>
          <w:lang w:eastAsia="ja-JP"/>
        </w:rPr>
        <w:t xml:space="preserve"> </w:t>
      </w:r>
    </w:p>
    <w:p w14:paraId="0C0CCA55" w14:textId="4DFEBF86" w:rsidR="00BA2B7A" w:rsidRPr="008D084F" w:rsidRDefault="00BA2B7A" w:rsidP="000D1B11">
      <w:pPr>
        <w:pStyle w:val="ListParagraph"/>
        <w:numPr>
          <w:ilvl w:val="0"/>
          <w:numId w:val="15"/>
        </w:numPr>
        <w:rPr>
          <w:lang w:eastAsia="zh-CN"/>
        </w:rPr>
      </w:pPr>
      <w:r w:rsidRPr="008D084F">
        <w:rPr>
          <w:rFonts w:ascii="Arial" w:hAnsi="Arial" w:cs="Arial"/>
          <w:sz w:val="20"/>
          <w:lang w:eastAsia="ja-JP"/>
        </w:rPr>
        <w:t xml:space="preserve">Performance of UL LAA is already constrained due to the presence of at least 4ms scheduling without </w:t>
      </w:r>
      <w:r w:rsidR="00D003F1" w:rsidRPr="008D084F">
        <w:rPr>
          <w:rFonts w:ascii="Arial" w:hAnsi="Arial" w:cs="Arial"/>
          <w:sz w:val="20"/>
          <w:lang w:eastAsia="ja-JP"/>
        </w:rPr>
        <w:t>causing any</w:t>
      </w:r>
      <w:r w:rsidRPr="008D084F">
        <w:rPr>
          <w:rFonts w:ascii="Arial" w:hAnsi="Arial" w:cs="Arial"/>
          <w:sz w:val="20"/>
          <w:lang w:eastAsia="ja-JP"/>
        </w:rPr>
        <w:t xml:space="preserve"> </w:t>
      </w:r>
      <w:r w:rsidR="00D003F1" w:rsidRPr="008D084F">
        <w:rPr>
          <w:rFonts w:ascii="Arial" w:hAnsi="Arial" w:cs="Arial"/>
          <w:sz w:val="20"/>
          <w:lang w:eastAsia="ja-JP"/>
        </w:rPr>
        <w:t>coexistence issue</w:t>
      </w:r>
      <w:r w:rsidRPr="008D084F">
        <w:rPr>
          <w:rFonts w:ascii="Arial" w:hAnsi="Arial" w:cs="Arial"/>
          <w:sz w:val="20"/>
          <w:lang w:eastAsia="ja-JP"/>
        </w:rPr>
        <w:t xml:space="preserve"> with Wi-Fi</w:t>
      </w:r>
      <w:r w:rsidR="00D003F1">
        <w:rPr>
          <w:rFonts w:ascii="Arial" w:hAnsi="Arial" w:cs="Arial"/>
          <w:sz w:val="20"/>
          <w:lang w:eastAsia="ja-JP"/>
        </w:rPr>
        <w:t xml:space="preserve"> </w:t>
      </w:r>
      <w:r w:rsidR="002A083D">
        <w:rPr>
          <w:rFonts w:ascii="Arial" w:hAnsi="Arial" w:cs="Arial"/>
          <w:sz w:val="20"/>
          <w:lang w:eastAsia="ja-JP"/>
        </w:rPr>
        <w:fldChar w:fldCharType="begin"/>
      </w:r>
      <w:r w:rsidR="002A083D">
        <w:rPr>
          <w:rFonts w:ascii="Arial" w:hAnsi="Arial" w:cs="Arial"/>
          <w:sz w:val="20"/>
          <w:lang w:eastAsia="ja-JP"/>
        </w:rPr>
        <w:instrText xml:space="preserve"> REF _Ref450900555 \n \h </w:instrText>
      </w:r>
      <w:r w:rsidR="002A083D">
        <w:rPr>
          <w:rFonts w:ascii="Arial" w:hAnsi="Arial" w:cs="Arial"/>
          <w:sz w:val="20"/>
          <w:lang w:eastAsia="ja-JP"/>
        </w:rPr>
      </w:r>
      <w:r w:rsidR="002A083D">
        <w:rPr>
          <w:rFonts w:ascii="Arial" w:hAnsi="Arial" w:cs="Arial"/>
          <w:sz w:val="20"/>
          <w:lang w:eastAsia="ja-JP"/>
        </w:rPr>
        <w:fldChar w:fldCharType="separate"/>
      </w:r>
      <w:r w:rsidR="002A083D">
        <w:rPr>
          <w:rFonts w:ascii="Arial" w:hAnsi="Arial" w:cs="Arial"/>
          <w:sz w:val="20"/>
          <w:lang w:eastAsia="ja-JP"/>
        </w:rPr>
        <w:t>[3]</w:t>
      </w:r>
      <w:r w:rsidR="002A083D">
        <w:rPr>
          <w:rFonts w:ascii="Arial" w:hAnsi="Arial" w:cs="Arial"/>
          <w:sz w:val="20"/>
          <w:lang w:eastAsia="ja-JP"/>
        </w:rPr>
        <w:fldChar w:fldCharType="end"/>
      </w:r>
      <w:r w:rsidRPr="002A083D">
        <w:rPr>
          <w:rFonts w:ascii="Arial" w:hAnsi="Arial" w:cs="Arial"/>
          <w:sz w:val="20"/>
          <w:lang w:eastAsia="ja-JP"/>
        </w:rPr>
        <w:t>.</w:t>
      </w:r>
      <w:r w:rsidRPr="008D084F">
        <w:rPr>
          <w:rFonts w:ascii="Arial" w:hAnsi="Arial" w:cs="Arial"/>
          <w:sz w:val="20"/>
          <w:lang w:eastAsia="ja-JP"/>
        </w:rPr>
        <w:t xml:space="preserve"> When the MCOT is shared with eNB, the higher priority LBT classes would result in </w:t>
      </w:r>
      <w:r w:rsidR="00D003F1" w:rsidRPr="008D084F">
        <w:rPr>
          <w:rFonts w:ascii="Arial" w:hAnsi="Arial" w:cs="Arial"/>
          <w:sz w:val="20"/>
          <w:lang w:eastAsia="ja-JP"/>
        </w:rPr>
        <w:t>lower</w:t>
      </w:r>
      <w:r w:rsidRPr="008D084F">
        <w:rPr>
          <w:rFonts w:ascii="Arial" w:hAnsi="Arial" w:cs="Arial"/>
          <w:sz w:val="20"/>
          <w:lang w:eastAsia="ja-JP"/>
        </w:rPr>
        <w:t xml:space="preserve"> channel utilization in the uplink due to shorter corresponding MCOT. </w:t>
      </w:r>
    </w:p>
    <w:p w14:paraId="04210395" w14:textId="69E4E382" w:rsidR="00D9024D" w:rsidRPr="002A7445" w:rsidRDefault="00D003F1" w:rsidP="00D9024D">
      <w:pPr>
        <w:rPr>
          <w:rFonts w:cs="Arial"/>
          <w:lang w:eastAsia="ko-KR"/>
        </w:rPr>
      </w:pPr>
      <w:r w:rsidRPr="002F2A9F">
        <w:rPr>
          <w:rFonts w:cs="Arial"/>
          <w:lang w:eastAsia="ja-JP"/>
        </w:rPr>
        <w:t>Although our view was in</w:t>
      </w:r>
      <w:r w:rsidR="002F2A9F">
        <w:rPr>
          <w:rFonts w:cs="Arial"/>
          <w:lang w:eastAsia="ja-JP"/>
        </w:rPr>
        <w:t>-</w:t>
      </w:r>
      <w:r w:rsidRPr="002F2A9F">
        <w:rPr>
          <w:rFonts w:cs="Arial"/>
          <w:lang w:eastAsia="ja-JP"/>
        </w:rPr>
        <w:t>line with the majority</w:t>
      </w:r>
      <w:r w:rsidR="00D9024D" w:rsidRPr="002F2A9F">
        <w:rPr>
          <w:rFonts w:cs="Arial"/>
          <w:lang w:eastAsia="ja-JP"/>
        </w:rPr>
        <w:t xml:space="preserve"> of </w:t>
      </w:r>
      <w:r w:rsidR="004E64B0">
        <w:rPr>
          <w:rFonts w:cs="Arial"/>
          <w:lang w:eastAsia="ja-JP"/>
        </w:rPr>
        <w:t xml:space="preserve">the </w:t>
      </w:r>
      <w:r w:rsidR="00D9024D" w:rsidRPr="002F2A9F">
        <w:rPr>
          <w:rFonts w:cs="Arial"/>
          <w:lang w:eastAsia="ja-JP"/>
        </w:rPr>
        <w:t>views</w:t>
      </w:r>
      <w:r w:rsidRPr="002F2A9F">
        <w:rPr>
          <w:rFonts w:cs="Arial"/>
          <w:lang w:eastAsia="ja-JP"/>
        </w:rPr>
        <w:t xml:space="preserve">, </w:t>
      </w:r>
      <w:r w:rsidR="00D9024D" w:rsidRPr="002F2A9F">
        <w:rPr>
          <w:rFonts w:cs="Arial"/>
          <w:lang w:eastAsia="ja-JP"/>
        </w:rPr>
        <w:t>some concerns</w:t>
      </w:r>
      <w:r w:rsidRPr="002F2A9F">
        <w:rPr>
          <w:rFonts w:cs="Arial"/>
          <w:lang w:eastAsia="ja-JP"/>
        </w:rPr>
        <w:t xml:space="preserve"> </w:t>
      </w:r>
      <w:r w:rsidR="00D9024D" w:rsidRPr="002F2A9F">
        <w:rPr>
          <w:rFonts w:cs="Arial"/>
          <w:lang w:eastAsia="ja-JP"/>
        </w:rPr>
        <w:t xml:space="preserve">were </w:t>
      </w:r>
      <w:r w:rsidRPr="002F2A9F">
        <w:rPr>
          <w:rFonts w:cs="Arial"/>
          <w:lang w:eastAsia="ja-JP"/>
        </w:rPr>
        <w:t xml:space="preserve">raised </w:t>
      </w:r>
      <w:r w:rsidR="00D9024D" w:rsidRPr="002F2A9F">
        <w:rPr>
          <w:rFonts w:cs="Arial"/>
          <w:lang w:eastAsia="ja-JP"/>
        </w:rPr>
        <w:t xml:space="preserve">demanding explicit rules to ensure the principle of </w:t>
      </w:r>
      <w:proofErr w:type="spellStart"/>
      <w:r w:rsidR="00D9024D" w:rsidRPr="002F2A9F">
        <w:rPr>
          <w:rFonts w:cs="Arial"/>
          <w:lang w:eastAsia="ja-JP"/>
        </w:rPr>
        <w:t>QoS</w:t>
      </w:r>
      <w:proofErr w:type="spellEnd"/>
      <w:r w:rsidR="00D9024D" w:rsidRPr="002F2A9F">
        <w:rPr>
          <w:rFonts w:cs="Arial"/>
          <w:lang w:eastAsia="ja-JP"/>
        </w:rPr>
        <w:t xml:space="preserve"> differentiation via prioritized channel access. It has been discussed that </w:t>
      </w:r>
      <w:r w:rsidR="002F2A9F" w:rsidRPr="002F2A9F">
        <w:rPr>
          <w:rFonts w:cs="Arial"/>
          <w:lang w:eastAsia="ja-JP"/>
        </w:rPr>
        <w:t>the same principle in UL LBT should be considered similar to the DL LBT</w:t>
      </w:r>
      <w:r w:rsidR="00D9024D" w:rsidRPr="002F2A9F">
        <w:rPr>
          <w:rFonts w:cs="Arial"/>
          <w:color w:val="E36C0A" w:themeColor="accent6" w:themeShade="BF"/>
          <w:lang w:eastAsia="ko-KR"/>
        </w:rPr>
        <w:t xml:space="preserve"> </w:t>
      </w:r>
      <w:r w:rsidR="00D9024D" w:rsidRPr="002F2A9F">
        <w:rPr>
          <w:rFonts w:cs="Arial"/>
          <w:lang w:eastAsia="ko-KR"/>
        </w:rPr>
        <w:t>in Rel-13</w:t>
      </w:r>
      <w:r w:rsidR="002F2A9F" w:rsidRPr="002F2A9F">
        <w:rPr>
          <w:rFonts w:cs="Arial"/>
          <w:lang w:eastAsia="ko-KR"/>
        </w:rPr>
        <w:t xml:space="preserve"> where an eNB</w:t>
      </w:r>
      <w:r w:rsidR="00D9024D" w:rsidRPr="002F2A9F">
        <w:rPr>
          <w:rFonts w:cs="Arial"/>
          <w:lang w:eastAsia="ko-KR"/>
        </w:rPr>
        <w:t xml:space="preserve"> may only access the channel using priority class P, if the subsequent transmission contains traffic corresponding to </w:t>
      </w:r>
      <w:r w:rsidR="00D9024D" w:rsidRPr="002A7445">
        <w:rPr>
          <w:rFonts w:cs="Arial"/>
          <w:lang w:eastAsia="ko-KR"/>
        </w:rPr>
        <w:lastRenderedPageBreak/>
        <w:t>priority P</w:t>
      </w:r>
      <w:r w:rsidR="002F2A9F" w:rsidRPr="002A7445">
        <w:rPr>
          <w:rFonts w:cs="Arial"/>
          <w:lang w:eastAsia="ko-KR"/>
        </w:rPr>
        <w:t xml:space="preserve"> or higher.  Moreover</w:t>
      </w:r>
      <w:r w:rsidR="00D9024D" w:rsidRPr="002A7445">
        <w:rPr>
          <w:rFonts w:cs="Arial"/>
          <w:lang w:eastAsia="ko-KR"/>
        </w:rPr>
        <w:t xml:space="preserve"> any unfilled resources may be used for lower priority traffic to avoid wastage of the medium that occurs otherwise.</w:t>
      </w:r>
      <w:r w:rsidR="002A7445" w:rsidRPr="002A7445">
        <w:rPr>
          <w:rFonts w:cs="Arial"/>
          <w:lang w:eastAsia="ko-KR"/>
        </w:rPr>
        <w:t xml:space="preserve"> In order to address the concern we propose the following which intends</w:t>
      </w:r>
      <w:r w:rsidR="002A7445" w:rsidRPr="002A7445">
        <w:rPr>
          <w:rFonts w:cs="Arial"/>
        </w:rPr>
        <w:t xml:space="preserve"> to ensure that the UL/DL traffic is in accordance with the LBT priority class used to obtain access</w:t>
      </w:r>
      <w:r w:rsidR="002A7445" w:rsidRPr="002A7445">
        <w:rPr>
          <w:rFonts w:cs="Arial"/>
          <w:lang w:eastAsia="ko-KR"/>
        </w:rPr>
        <w:t>:</w:t>
      </w:r>
    </w:p>
    <w:p w14:paraId="1F0F3B30" w14:textId="27C3EC15" w:rsidR="002F2A9F" w:rsidRPr="002A7445" w:rsidRDefault="002F2A9F" w:rsidP="00157777">
      <w:pPr>
        <w:ind w:right="9"/>
        <w:rPr>
          <w:rFonts w:cs="Arial"/>
          <w:b/>
          <w:bCs/>
        </w:rPr>
      </w:pPr>
      <w:r w:rsidRPr="002A7445">
        <w:rPr>
          <w:rFonts w:cs="Arial"/>
          <w:b/>
          <w:bCs/>
        </w:rPr>
        <w:t>Proposal:</w:t>
      </w:r>
    </w:p>
    <w:p w14:paraId="163BF5D9" w14:textId="77777777" w:rsidR="002F2A9F" w:rsidRPr="002A7445" w:rsidRDefault="002F2A9F" w:rsidP="000D1B11">
      <w:pPr>
        <w:pStyle w:val="ListParagraph"/>
        <w:numPr>
          <w:ilvl w:val="0"/>
          <w:numId w:val="16"/>
        </w:numPr>
        <w:spacing w:after="0"/>
        <w:rPr>
          <w:rFonts w:ascii="Arial" w:hAnsi="Arial" w:cs="Arial"/>
          <w:sz w:val="20"/>
          <w:szCs w:val="20"/>
        </w:rPr>
      </w:pPr>
      <w:r w:rsidRPr="002A7445">
        <w:rPr>
          <w:rFonts w:ascii="Arial" w:hAnsi="Arial" w:cs="Arial"/>
          <w:sz w:val="20"/>
          <w:szCs w:val="20"/>
        </w:rPr>
        <w:t xml:space="preserve">There is no restriction at the UE on the content of PUSCH within a UL transmission based on the LBT parameters used by the eNB for channel access for that transmission.  </w:t>
      </w:r>
    </w:p>
    <w:p w14:paraId="01610744" w14:textId="6C68DCF2" w:rsidR="002F2A9F" w:rsidRPr="002A7445" w:rsidRDefault="002F2A9F" w:rsidP="000D1B11">
      <w:pPr>
        <w:pStyle w:val="ListParagraph"/>
        <w:numPr>
          <w:ilvl w:val="1"/>
          <w:numId w:val="16"/>
        </w:numPr>
        <w:spacing w:after="0"/>
        <w:rPr>
          <w:rFonts w:ascii="Arial" w:hAnsi="Arial" w:cs="Arial"/>
          <w:sz w:val="20"/>
          <w:szCs w:val="20"/>
        </w:rPr>
      </w:pPr>
      <w:r w:rsidRPr="002A7445">
        <w:rPr>
          <w:rFonts w:ascii="Arial" w:hAnsi="Arial" w:cs="Arial"/>
          <w:sz w:val="20"/>
          <w:szCs w:val="20"/>
        </w:rPr>
        <w:t>The eNB is responsible to allocate resources for PUSCH transmission</w:t>
      </w:r>
      <w:r w:rsidR="00E14781">
        <w:rPr>
          <w:rFonts w:ascii="Arial" w:hAnsi="Arial" w:cs="Arial"/>
          <w:sz w:val="20"/>
          <w:szCs w:val="20"/>
        </w:rPr>
        <w:t>s</w:t>
      </w:r>
      <w:r w:rsidRPr="002A7445">
        <w:rPr>
          <w:rFonts w:ascii="Arial" w:hAnsi="Arial" w:cs="Arial"/>
          <w:sz w:val="20"/>
          <w:szCs w:val="20"/>
        </w:rPr>
        <w:t xml:space="preserve"> based on the received buffer status and choose the LBT priority class accordingly as </w:t>
      </w:r>
      <w:r w:rsidR="001F2B1C">
        <w:rPr>
          <w:rFonts w:ascii="Arial" w:hAnsi="Arial" w:cs="Arial"/>
          <w:sz w:val="20"/>
          <w:szCs w:val="20"/>
        </w:rPr>
        <w:t xml:space="preserve">per </w:t>
      </w:r>
      <w:r w:rsidRPr="002A7445">
        <w:rPr>
          <w:rFonts w:ascii="Arial" w:hAnsi="Arial" w:cs="Arial"/>
          <w:sz w:val="20"/>
          <w:szCs w:val="20"/>
        </w:rPr>
        <w:t xml:space="preserve">the current </w:t>
      </w:r>
      <w:proofErr w:type="spellStart"/>
      <w:r w:rsidRPr="002A7445">
        <w:rPr>
          <w:rFonts w:ascii="Arial" w:hAnsi="Arial" w:cs="Arial"/>
          <w:sz w:val="20"/>
          <w:szCs w:val="20"/>
        </w:rPr>
        <w:t>behaviour</w:t>
      </w:r>
      <w:proofErr w:type="spellEnd"/>
      <w:r w:rsidRPr="002A7445">
        <w:rPr>
          <w:rFonts w:ascii="Arial" w:hAnsi="Arial" w:cs="Arial"/>
          <w:sz w:val="20"/>
          <w:szCs w:val="20"/>
        </w:rPr>
        <w:t>.</w:t>
      </w:r>
    </w:p>
    <w:p w14:paraId="6E20D539" w14:textId="77777777" w:rsidR="00E76569" w:rsidRPr="00E76569" w:rsidRDefault="00E76569" w:rsidP="00E76569"/>
    <w:p w14:paraId="7BFC3B03" w14:textId="022EC81A" w:rsidR="00AB63BB" w:rsidRDefault="00EE2396" w:rsidP="002A7445">
      <w:pPr>
        <w:pStyle w:val="Heading2"/>
      </w:pPr>
      <w:r>
        <w:t>Cat .4 LBT parameters</w:t>
      </w:r>
    </w:p>
    <w:p w14:paraId="27B9DF2A" w14:textId="56DDF070" w:rsidR="00EE2396" w:rsidRDefault="00EE2396" w:rsidP="00EE2396">
      <w:r>
        <w:t>We propose that the Cat. 4 LBT parameters are in-line with the requirements in ETSI BRAN. Therefore we propose the following:</w:t>
      </w:r>
    </w:p>
    <w:p w14:paraId="478D8CE9" w14:textId="77777777" w:rsidR="004E64B0" w:rsidRDefault="004E64B0" w:rsidP="00EE2396"/>
    <w:p w14:paraId="41C307BA" w14:textId="4139A365" w:rsidR="00B461E7" w:rsidRDefault="00B461E7" w:rsidP="00EE2396">
      <w:pPr>
        <w:rPr>
          <w:b/>
        </w:rPr>
      </w:pPr>
      <w:r>
        <w:rPr>
          <w:b/>
        </w:rPr>
        <w:t>Proposal</w:t>
      </w:r>
      <w:r w:rsidR="00D71619">
        <w:rPr>
          <w:b/>
        </w:rPr>
        <w:t>s</w:t>
      </w:r>
      <w:r>
        <w:rPr>
          <w:b/>
        </w:rPr>
        <w:t>:</w:t>
      </w:r>
    </w:p>
    <w:p w14:paraId="7F5FF862" w14:textId="69BD75CC" w:rsidR="00582F5F" w:rsidRPr="00D71619" w:rsidRDefault="00582F5F" w:rsidP="00582F5F">
      <w:pPr>
        <w:pStyle w:val="ListParagraph"/>
        <w:numPr>
          <w:ilvl w:val="0"/>
          <w:numId w:val="24"/>
        </w:numPr>
        <w:spacing w:after="0"/>
        <w:rPr>
          <w:rFonts w:ascii="Arial" w:hAnsi="Arial" w:cs="Arial"/>
          <w:sz w:val="20"/>
          <w:szCs w:val="20"/>
        </w:rPr>
      </w:pPr>
      <w:r w:rsidRPr="00D71619">
        <w:rPr>
          <w:rFonts w:ascii="Arial" w:hAnsi="Arial" w:cs="Arial"/>
          <w:sz w:val="20"/>
          <w:szCs w:val="20"/>
          <w:lang w:eastAsia="x-none"/>
        </w:rPr>
        <w:t>Rel-14 supports four LBT priority classes for UL transmissions.</w:t>
      </w:r>
      <w:r w:rsidRPr="00D71619">
        <w:rPr>
          <w:rFonts w:ascii="Arial" w:hAnsi="Arial" w:cs="Arial"/>
          <w:sz w:val="20"/>
          <w:szCs w:val="20"/>
        </w:rPr>
        <w:t xml:space="preserve"> </w:t>
      </w:r>
    </w:p>
    <w:p w14:paraId="46128337" w14:textId="245D0347" w:rsidR="00582F5F" w:rsidRPr="00D71619" w:rsidRDefault="00582F5F" w:rsidP="00582F5F">
      <w:pPr>
        <w:numPr>
          <w:ilvl w:val="0"/>
          <w:numId w:val="24"/>
        </w:numPr>
        <w:overflowPunct/>
        <w:autoSpaceDE/>
        <w:autoSpaceDN/>
        <w:adjustRightInd/>
        <w:spacing w:after="0"/>
        <w:jc w:val="left"/>
        <w:textAlignment w:val="auto"/>
        <w:rPr>
          <w:rFonts w:cs="Arial"/>
          <w:lang w:val="en-US"/>
        </w:rPr>
      </w:pPr>
      <w:r w:rsidRPr="00D71619">
        <w:rPr>
          <w:rFonts w:cs="Arial"/>
        </w:rPr>
        <w:t xml:space="preserve">For the LBT priority classes 1 to 4, </w:t>
      </w:r>
      <w:proofErr w:type="spellStart"/>
      <w:r w:rsidRPr="00D71619">
        <w:rPr>
          <w:rFonts w:cs="Arial"/>
        </w:rPr>
        <w:t>eLAA</w:t>
      </w:r>
      <w:proofErr w:type="spellEnd"/>
      <w:r w:rsidRPr="00D71619">
        <w:rPr>
          <w:rFonts w:cs="Arial"/>
        </w:rPr>
        <w:t xml:space="preserve"> supports the LBT parameter values shown in the table below.</w:t>
      </w:r>
    </w:p>
    <w:p w14:paraId="6C6D8FC5" w14:textId="3006A437" w:rsidR="007C7B6C" w:rsidRPr="00D71619" w:rsidRDefault="00582F5F" w:rsidP="00582F5F">
      <w:pPr>
        <w:pStyle w:val="ListParagraph"/>
        <w:numPr>
          <w:ilvl w:val="1"/>
          <w:numId w:val="24"/>
        </w:numPr>
        <w:overflowPunct w:val="0"/>
        <w:autoSpaceDE w:val="0"/>
        <w:autoSpaceDN w:val="0"/>
        <w:adjustRightInd w:val="0"/>
        <w:spacing w:after="180" w:line="240" w:lineRule="auto"/>
        <w:textAlignment w:val="baseline"/>
        <w:rPr>
          <w:rFonts w:ascii="Arial" w:eastAsia="MS Mincho" w:hAnsi="Arial" w:cs="Arial"/>
          <w:iCs/>
          <w:sz w:val="20"/>
          <w:szCs w:val="20"/>
        </w:rPr>
      </w:pPr>
      <w:r w:rsidRPr="00D71619">
        <w:rPr>
          <w:rFonts w:ascii="Arial" w:eastAsia="MS Mincho" w:hAnsi="Arial" w:cs="Arial"/>
          <w:iCs/>
          <w:sz w:val="20"/>
          <w:szCs w:val="20"/>
        </w:rPr>
        <w:t xml:space="preserve">Note: In the table below </w:t>
      </w:r>
      <w:proofErr w:type="spellStart"/>
      <w:r w:rsidRPr="00D71619">
        <w:rPr>
          <w:rFonts w:ascii="Arial" w:eastAsia="MS Mincho" w:hAnsi="Arial" w:cs="Arial"/>
          <w:iCs/>
          <w:sz w:val="20"/>
          <w:szCs w:val="20"/>
        </w:rPr>
        <w:t>CWmin</w:t>
      </w:r>
      <w:proofErr w:type="spellEnd"/>
      <w:r w:rsidRPr="00D71619">
        <w:rPr>
          <w:rFonts w:ascii="Arial" w:eastAsia="MS Mincho" w:hAnsi="Arial" w:cs="Arial"/>
          <w:iCs/>
          <w:sz w:val="20"/>
          <w:szCs w:val="20"/>
        </w:rPr>
        <w:t xml:space="preserve">, </w:t>
      </w:r>
      <w:proofErr w:type="spellStart"/>
      <w:r w:rsidRPr="00D71619">
        <w:rPr>
          <w:rFonts w:ascii="Arial" w:eastAsia="MS Mincho" w:hAnsi="Arial" w:cs="Arial"/>
          <w:iCs/>
          <w:sz w:val="20"/>
          <w:szCs w:val="20"/>
        </w:rPr>
        <w:t>CWmax</w:t>
      </w:r>
      <w:proofErr w:type="spellEnd"/>
      <w:r w:rsidRPr="00D71619">
        <w:rPr>
          <w:rFonts w:ascii="Arial" w:eastAsia="MS Mincho" w:hAnsi="Arial" w:cs="Arial"/>
          <w:iCs/>
          <w:sz w:val="20"/>
          <w:szCs w:val="20"/>
        </w:rPr>
        <w:t xml:space="preserve">, n and MCOT refer to the minimum contention window size, the maximum contention window size, the number of </w:t>
      </w:r>
      <w:r w:rsidR="00C14D92" w:rsidRPr="00D71619">
        <w:rPr>
          <w:rFonts w:ascii="Arial" w:eastAsia="MS Mincho" w:hAnsi="Arial" w:cs="Arial"/>
          <w:iCs/>
          <w:sz w:val="20"/>
          <w:szCs w:val="20"/>
        </w:rPr>
        <w:t xml:space="preserve">consecutive </w:t>
      </w:r>
      <w:r w:rsidRPr="00D71619">
        <w:rPr>
          <w:rFonts w:ascii="Arial" w:eastAsia="MS Mincho" w:hAnsi="Arial" w:cs="Arial"/>
          <w:iCs/>
          <w:sz w:val="20"/>
          <w:szCs w:val="20"/>
        </w:rPr>
        <w:t xml:space="preserve">CCA slots in the defer period and the maximum channel occupancy time, respectively. </w:t>
      </w:r>
    </w:p>
    <w:tbl>
      <w:tblPr>
        <w:tblW w:w="0" w:type="auto"/>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540"/>
        <w:gridCol w:w="1080"/>
        <w:gridCol w:w="1170"/>
        <w:gridCol w:w="1875"/>
        <w:gridCol w:w="2895"/>
      </w:tblGrid>
      <w:tr w:rsidR="007C7B6C" w:rsidRPr="00C12953" w14:paraId="625210CB" w14:textId="77777777" w:rsidTr="00C14D92">
        <w:trPr>
          <w:trHeight w:val="554"/>
          <w:jc w:val="center"/>
        </w:trPr>
        <w:tc>
          <w:tcPr>
            <w:tcW w:w="1192" w:type="dxa"/>
            <w:shd w:val="clear" w:color="auto" w:fill="E0E0E0"/>
            <w:vAlign w:val="center"/>
          </w:tcPr>
          <w:p w14:paraId="42316FB4" w14:textId="748B8AAB" w:rsidR="007C7B6C" w:rsidRPr="00C12953" w:rsidRDefault="00582F5F" w:rsidP="004E4F18">
            <w:pPr>
              <w:pStyle w:val="TAH"/>
            </w:pPr>
            <w:r>
              <w:t>LBT priority class</w:t>
            </w:r>
          </w:p>
        </w:tc>
        <w:tc>
          <w:tcPr>
            <w:tcW w:w="540" w:type="dxa"/>
            <w:shd w:val="clear" w:color="auto" w:fill="E0E0E0"/>
            <w:vAlign w:val="center"/>
          </w:tcPr>
          <w:p w14:paraId="7D971EE2" w14:textId="0A8FC7A0" w:rsidR="007C7B6C" w:rsidRPr="00C12953" w:rsidRDefault="00582F5F" w:rsidP="004E4F18">
            <w:pPr>
              <w:pStyle w:val="TAH"/>
            </w:pPr>
            <w:r>
              <w:t>n</w:t>
            </w:r>
          </w:p>
        </w:tc>
        <w:tc>
          <w:tcPr>
            <w:tcW w:w="1080" w:type="dxa"/>
            <w:shd w:val="clear" w:color="auto" w:fill="E0E0E0"/>
            <w:vAlign w:val="center"/>
          </w:tcPr>
          <w:p w14:paraId="2988C3C8" w14:textId="2853C34D" w:rsidR="007C7B6C" w:rsidRPr="00C12953" w:rsidRDefault="00582F5F" w:rsidP="004E4F18">
            <w:pPr>
              <w:pStyle w:val="TAH"/>
            </w:pPr>
            <w:proofErr w:type="spellStart"/>
            <w:r>
              <w:t>CWmin</w:t>
            </w:r>
            <w:proofErr w:type="spellEnd"/>
          </w:p>
        </w:tc>
        <w:tc>
          <w:tcPr>
            <w:tcW w:w="1170" w:type="dxa"/>
            <w:shd w:val="clear" w:color="auto" w:fill="E0E0E0"/>
            <w:vAlign w:val="center"/>
          </w:tcPr>
          <w:p w14:paraId="7ECB96E9" w14:textId="30781A25" w:rsidR="007C7B6C" w:rsidRPr="00C12953" w:rsidRDefault="00582F5F" w:rsidP="004E4F18">
            <w:pPr>
              <w:pStyle w:val="TAH"/>
            </w:pPr>
            <w:proofErr w:type="spellStart"/>
            <w:r>
              <w:t>CWmax</w:t>
            </w:r>
            <w:proofErr w:type="spellEnd"/>
          </w:p>
        </w:tc>
        <w:tc>
          <w:tcPr>
            <w:tcW w:w="1875" w:type="dxa"/>
            <w:shd w:val="clear" w:color="auto" w:fill="E0E0E0"/>
            <w:vAlign w:val="center"/>
          </w:tcPr>
          <w:p w14:paraId="63695EE1" w14:textId="48E9F1DB" w:rsidR="007C7B6C" w:rsidRPr="004F689F" w:rsidRDefault="00582F5F" w:rsidP="004E4F18">
            <w:pPr>
              <w:pStyle w:val="TAH"/>
            </w:pPr>
            <w:r>
              <w:t>MCOT</w:t>
            </w:r>
          </w:p>
        </w:tc>
        <w:tc>
          <w:tcPr>
            <w:tcW w:w="2895" w:type="dxa"/>
            <w:shd w:val="clear" w:color="auto" w:fill="E0E0E0"/>
            <w:vAlign w:val="center"/>
          </w:tcPr>
          <w:p w14:paraId="5C69CFB4" w14:textId="51F04941" w:rsidR="007C7B6C" w:rsidRDefault="00582F5F" w:rsidP="004E4F18">
            <w:pPr>
              <w:pStyle w:val="TAH"/>
            </w:pPr>
            <w:r>
              <w:t>Set of CW sizes</w:t>
            </w:r>
          </w:p>
        </w:tc>
      </w:tr>
      <w:tr w:rsidR="007C7B6C" w:rsidRPr="00C12953" w14:paraId="5CF9CA97" w14:textId="77777777" w:rsidTr="00C14D92">
        <w:trPr>
          <w:trHeight w:val="376"/>
          <w:jc w:val="center"/>
        </w:trPr>
        <w:tc>
          <w:tcPr>
            <w:tcW w:w="1192" w:type="dxa"/>
            <w:shd w:val="clear" w:color="auto" w:fill="auto"/>
            <w:vAlign w:val="center"/>
          </w:tcPr>
          <w:p w14:paraId="015B24E0" w14:textId="77777777" w:rsidR="007C7B6C" w:rsidRPr="00C12953" w:rsidRDefault="007C7B6C" w:rsidP="004E4F18">
            <w:pPr>
              <w:pStyle w:val="TAC"/>
            </w:pPr>
            <w:r>
              <w:t>1</w:t>
            </w:r>
          </w:p>
        </w:tc>
        <w:tc>
          <w:tcPr>
            <w:tcW w:w="540" w:type="dxa"/>
            <w:shd w:val="clear" w:color="auto" w:fill="auto"/>
            <w:vAlign w:val="center"/>
          </w:tcPr>
          <w:p w14:paraId="20A252C9" w14:textId="55EBFCC4" w:rsidR="007C7B6C" w:rsidRPr="00C12953" w:rsidRDefault="007C7B6C" w:rsidP="004E4F18">
            <w:pPr>
              <w:pStyle w:val="TAC"/>
            </w:pPr>
            <w:r>
              <w:t>2</w:t>
            </w:r>
          </w:p>
        </w:tc>
        <w:tc>
          <w:tcPr>
            <w:tcW w:w="1080" w:type="dxa"/>
            <w:vAlign w:val="center"/>
          </w:tcPr>
          <w:p w14:paraId="0E4E9F59" w14:textId="77777777" w:rsidR="007C7B6C" w:rsidRDefault="007C7B6C" w:rsidP="004E4F18">
            <w:pPr>
              <w:pStyle w:val="TAC"/>
            </w:pPr>
            <w:r>
              <w:t>3</w:t>
            </w:r>
          </w:p>
        </w:tc>
        <w:tc>
          <w:tcPr>
            <w:tcW w:w="1170" w:type="dxa"/>
            <w:vAlign w:val="center"/>
          </w:tcPr>
          <w:p w14:paraId="7943CC64" w14:textId="77777777" w:rsidR="007C7B6C" w:rsidRDefault="007C7B6C" w:rsidP="004E4F18">
            <w:pPr>
              <w:pStyle w:val="TAC"/>
            </w:pPr>
            <w:r>
              <w:t>7</w:t>
            </w:r>
          </w:p>
        </w:tc>
        <w:tc>
          <w:tcPr>
            <w:tcW w:w="1875" w:type="dxa"/>
            <w:vAlign w:val="center"/>
          </w:tcPr>
          <w:p w14:paraId="39052395" w14:textId="77777777" w:rsidR="007C7B6C" w:rsidRDefault="007C7B6C" w:rsidP="004E4F18">
            <w:pPr>
              <w:pStyle w:val="TAC"/>
            </w:pPr>
            <w:r>
              <w:t xml:space="preserve">2 </w:t>
            </w:r>
            <w:proofErr w:type="spellStart"/>
            <w:r>
              <w:t>ms</w:t>
            </w:r>
            <w:proofErr w:type="spellEnd"/>
          </w:p>
        </w:tc>
        <w:tc>
          <w:tcPr>
            <w:tcW w:w="2895" w:type="dxa"/>
            <w:vAlign w:val="center"/>
          </w:tcPr>
          <w:p w14:paraId="1532E7F8" w14:textId="77777777" w:rsidR="007C7B6C" w:rsidRDefault="007C7B6C" w:rsidP="004E4F18">
            <w:pPr>
              <w:pStyle w:val="TAC"/>
            </w:pPr>
            <w:r>
              <w:t>{3,7}</w:t>
            </w:r>
          </w:p>
        </w:tc>
      </w:tr>
      <w:tr w:rsidR="007C7B6C" w:rsidRPr="00C12953" w14:paraId="24F9EC4F" w14:textId="77777777" w:rsidTr="00C14D92">
        <w:trPr>
          <w:trHeight w:val="376"/>
          <w:jc w:val="center"/>
        </w:trPr>
        <w:tc>
          <w:tcPr>
            <w:tcW w:w="1192" w:type="dxa"/>
            <w:shd w:val="clear" w:color="auto" w:fill="auto"/>
            <w:vAlign w:val="center"/>
          </w:tcPr>
          <w:p w14:paraId="75DDF737" w14:textId="77777777" w:rsidR="007C7B6C" w:rsidRDefault="007C7B6C" w:rsidP="004E4F18">
            <w:pPr>
              <w:pStyle w:val="TAC"/>
            </w:pPr>
            <w:r>
              <w:t>2</w:t>
            </w:r>
          </w:p>
        </w:tc>
        <w:tc>
          <w:tcPr>
            <w:tcW w:w="540" w:type="dxa"/>
            <w:shd w:val="clear" w:color="auto" w:fill="auto"/>
            <w:vAlign w:val="center"/>
          </w:tcPr>
          <w:p w14:paraId="5F61FC8E" w14:textId="735DAF93" w:rsidR="007C7B6C" w:rsidRDefault="007C7B6C" w:rsidP="004E4F18">
            <w:pPr>
              <w:pStyle w:val="TAC"/>
            </w:pPr>
            <w:r>
              <w:t>2</w:t>
            </w:r>
          </w:p>
        </w:tc>
        <w:tc>
          <w:tcPr>
            <w:tcW w:w="1080" w:type="dxa"/>
            <w:vAlign w:val="center"/>
          </w:tcPr>
          <w:p w14:paraId="4D22ABED" w14:textId="77777777" w:rsidR="007C7B6C" w:rsidRDefault="007C7B6C" w:rsidP="004E4F18">
            <w:pPr>
              <w:pStyle w:val="TAC"/>
            </w:pPr>
            <w:r>
              <w:t>7</w:t>
            </w:r>
          </w:p>
        </w:tc>
        <w:tc>
          <w:tcPr>
            <w:tcW w:w="1170" w:type="dxa"/>
            <w:vAlign w:val="center"/>
          </w:tcPr>
          <w:p w14:paraId="462A82DB" w14:textId="77777777" w:rsidR="007C7B6C" w:rsidRDefault="007C7B6C" w:rsidP="004E4F18">
            <w:pPr>
              <w:pStyle w:val="TAC"/>
            </w:pPr>
            <w:r>
              <w:t>15</w:t>
            </w:r>
          </w:p>
        </w:tc>
        <w:tc>
          <w:tcPr>
            <w:tcW w:w="1875" w:type="dxa"/>
            <w:vAlign w:val="center"/>
          </w:tcPr>
          <w:p w14:paraId="67EAEAA4" w14:textId="6E6471DF" w:rsidR="007C7B6C" w:rsidRDefault="007C7B6C" w:rsidP="004E4F18">
            <w:pPr>
              <w:pStyle w:val="TAC"/>
            </w:pPr>
            <w:r>
              <w:t xml:space="preserve">4 </w:t>
            </w:r>
            <w:proofErr w:type="spellStart"/>
            <w:r>
              <w:t>ms</w:t>
            </w:r>
            <w:proofErr w:type="spellEnd"/>
          </w:p>
        </w:tc>
        <w:tc>
          <w:tcPr>
            <w:tcW w:w="2895" w:type="dxa"/>
            <w:vAlign w:val="center"/>
          </w:tcPr>
          <w:p w14:paraId="3A3882AD" w14:textId="77777777" w:rsidR="007C7B6C" w:rsidRDefault="007C7B6C" w:rsidP="004E4F18">
            <w:pPr>
              <w:pStyle w:val="TAC"/>
            </w:pPr>
            <w:r>
              <w:t>{7,15}</w:t>
            </w:r>
          </w:p>
        </w:tc>
      </w:tr>
      <w:tr w:rsidR="007C7B6C" w:rsidRPr="00C12953" w14:paraId="5000D0D5" w14:textId="77777777" w:rsidTr="00C14D92">
        <w:trPr>
          <w:trHeight w:val="376"/>
          <w:jc w:val="center"/>
        </w:trPr>
        <w:tc>
          <w:tcPr>
            <w:tcW w:w="1192" w:type="dxa"/>
            <w:shd w:val="clear" w:color="auto" w:fill="auto"/>
            <w:vAlign w:val="center"/>
          </w:tcPr>
          <w:p w14:paraId="22EB54CA" w14:textId="77777777" w:rsidR="007C7B6C" w:rsidRDefault="007C7B6C" w:rsidP="004E4F18">
            <w:pPr>
              <w:pStyle w:val="TAC"/>
            </w:pPr>
            <w:r>
              <w:t>3</w:t>
            </w:r>
          </w:p>
        </w:tc>
        <w:tc>
          <w:tcPr>
            <w:tcW w:w="540" w:type="dxa"/>
            <w:shd w:val="clear" w:color="auto" w:fill="auto"/>
            <w:vAlign w:val="center"/>
          </w:tcPr>
          <w:p w14:paraId="392084CD" w14:textId="7A837439" w:rsidR="007C7B6C" w:rsidRDefault="007C7B6C" w:rsidP="004E4F18">
            <w:pPr>
              <w:pStyle w:val="TAC"/>
            </w:pPr>
            <w:r>
              <w:t>3</w:t>
            </w:r>
          </w:p>
        </w:tc>
        <w:tc>
          <w:tcPr>
            <w:tcW w:w="1080" w:type="dxa"/>
            <w:vAlign w:val="center"/>
          </w:tcPr>
          <w:p w14:paraId="2F9387E3" w14:textId="77777777" w:rsidR="007C7B6C" w:rsidRDefault="007C7B6C" w:rsidP="004E4F18">
            <w:pPr>
              <w:pStyle w:val="TAC"/>
            </w:pPr>
            <w:r>
              <w:t>15</w:t>
            </w:r>
          </w:p>
        </w:tc>
        <w:tc>
          <w:tcPr>
            <w:tcW w:w="1170" w:type="dxa"/>
            <w:vAlign w:val="center"/>
          </w:tcPr>
          <w:p w14:paraId="49D0DA05" w14:textId="66B65F7E" w:rsidR="007C7B6C" w:rsidRDefault="007C7B6C" w:rsidP="004E4F18">
            <w:pPr>
              <w:pStyle w:val="TAC"/>
            </w:pPr>
            <w:r>
              <w:t>1023</w:t>
            </w:r>
          </w:p>
        </w:tc>
        <w:tc>
          <w:tcPr>
            <w:tcW w:w="1875" w:type="dxa"/>
            <w:vAlign w:val="center"/>
          </w:tcPr>
          <w:p w14:paraId="6C48C163" w14:textId="00047A55" w:rsidR="007C7B6C" w:rsidRDefault="007C7B6C" w:rsidP="004E4F18">
            <w:pPr>
              <w:pStyle w:val="TAC"/>
            </w:pPr>
            <w:r>
              <w:t xml:space="preserve">6ms (see note 1) or 10 </w:t>
            </w:r>
            <w:proofErr w:type="spellStart"/>
            <w:r>
              <w:t>ms</w:t>
            </w:r>
            <w:proofErr w:type="spellEnd"/>
            <w:r>
              <w:t xml:space="preserve"> (see note 2)</w:t>
            </w:r>
          </w:p>
        </w:tc>
        <w:tc>
          <w:tcPr>
            <w:tcW w:w="2895" w:type="dxa"/>
            <w:vAlign w:val="center"/>
          </w:tcPr>
          <w:p w14:paraId="3E2FEF6C" w14:textId="5A3EA8E1" w:rsidR="007C7B6C" w:rsidRDefault="007C7B6C" w:rsidP="004E4F18">
            <w:pPr>
              <w:pStyle w:val="TAC"/>
            </w:pPr>
            <w:r>
              <w:t>{15,31,63,127,255,511,1023}</w:t>
            </w:r>
          </w:p>
        </w:tc>
      </w:tr>
      <w:tr w:rsidR="007C7B6C" w:rsidRPr="00C12953" w14:paraId="35832F64" w14:textId="77777777" w:rsidTr="00C14D92">
        <w:trPr>
          <w:trHeight w:val="376"/>
          <w:jc w:val="center"/>
        </w:trPr>
        <w:tc>
          <w:tcPr>
            <w:tcW w:w="1192" w:type="dxa"/>
            <w:shd w:val="clear" w:color="auto" w:fill="auto"/>
            <w:vAlign w:val="center"/>
          </w:tcPr>
          <w:p w14:paraId="4A5869F9" w14:textId="77777777" w:rsidR="007C7B6C" w:rsidRDefault="007C7B6C" w:rsidP="004E4F18">
            <w:pPr>
              <w:pStyle w:val="TAC"/>
            </w:pPr>
            <w:r>
              <w:t>4</w:t>
            </w:r>
          </w:p>
        </w:tc>
        <w:tc>
          <w:tcPr>
            <w:tcW w:w="540" w:type="dxa"/>
            <w:shd w:val="clear" w:color="auto" w:fill="auto"/>
            <w:vAlign w:val="center"/>
          </w:tcPr>
          <w:p w14:paraId="3CE65331" w14:textId="77777777" w:rsidR="007C7B6C" w:rsidRDefault="007C7B6C" w:rsidP="004E4F18">
            <w:pPr>
              <w:pStyle w:val="TAC"/>
            </w:pPr>
            <w:r>
              <w:t>7</w:t>
            </w:r>
          </w:p>
        </w:tc>
        <w:tc>
          <w:tcPr>
            <w:tcW w:w="1080" w:type="dxa"/>
            <w:vAlign w:val="center"/>
          </w:tcPr>
          <w:p w14:paraId="6B12618E" w14:textId="77777777" w:rsidR="007C7B6C" w:rsidRDefault="007C7B6C" w:rsidP="004E4F18">
            <w:pPr>
              <w:pStyle w:val="TAC"/>
            </w:pPr>
            <w:r>
              <w:t>15</w:t>
            </w:r>
          </w:p>
        </w:tc>
        <w:tc>
          <w:tcPr>
            <w:tcW w:w="1170" w:type="dxa"/>
            <w:vAlign w:val="center"/>
          </w:tcPr>
          <w:p w14:paraId="3B356DDC" w14:textId="77777777" w:rsidR="007C7B6C" w:rsidRDefault="007C7B6C" w:rsidP="004E4F18">
            <w:pPr>
              <w:pStyle w:val="TAC"/>
            </w:pPr>
            <w:r>
              <w:t>1023</w:t>
            </w:r>
          </w:p>
        </w:tc>
        <w:tc>
          <w:tcPr>
            <w:tcW w:w="1875" w:type="dxa"/>
            <w:vAlign w:val="center"/>
          </w:tcPr>
          <w:p w14:paraId="0BC472B5" w14:textId="7898265B" w:rsidR="007C7B6C" w:rsidRDefault="007C7B6C" w:rsidP="007C7B6C">
            <w:pPr>
              <w:pStyle w:val="TAC"/>
              <w:jc w:val="both"/>
            </w:pPr>
            <w:r>
              <w:t xml:space="preserve">6ms (see note 1) or 10 </w:t>
            </w:r>
            <w:proofErr w:type="spellStart"/>
            <w:r>
              <w:t>ms</w:t>
            </w:r>
            <w:proofErr w:type="spellEnd"/>
            <w:r>
              <w:t xml:space="preserve"> (see note 2)</w:t>
            </w:r>
          </w:p>
        </w:tc>
        <w:tc>
          <w:tcPr>
            <w:tcW w:w="2895" w:type="dxa"/>
            <w:vAlign w:val="center"/>
          </w:tcPr>
          <w:p w14:paraId="0A713ECF" w14:textId="77777777" w:rsidR="007C7B6C" w:rsidRDefault="007C7B6C" w:rsidP="004E4F18">
            <w:pPr>
              <w:pStyle w:val="TAC"/>
            </w:pPr>
            <w:r>
              <w:t>{15,31,63,127,255,511,1023}</w:t>
            </w:r>
          </w:p>
        </w:tc>
      </w:tr>
      <w:tr w:rsidR="007C7B6C" w:rsidRPr="00C12953" w14:paraId="3831BE72" w14:textId="77777777" w:rsidTr="00C14D92">
        <w:trPr>
          <w:trHeight w:val="376"/>
          <w:jc w:val="center"/>
        </w:trPr>
        <w:tc>
          <w:tcPr>
            <w:tcW w:w="8752" w:type="dxa"/>
            <w:gridSpan w:val="6"/>
            <w:shd w:val="clear" w:color="auto" w:fill="auto"/>
            <w:vAlign w:val="center"/>
          </w:tcPr>
          <w:p w14:paraId="3B8E66A0" w14:textId="6F4406F4" w:rsidR="007C7B6C" w:rsidRDefault="007C7B6C" w:rsidP="007C7B6C">
            <w:pPr>
              <w:pStyle w:val="TAN"/>
              <w:rPr>
                <w:lang w:val="en-AU" w:eastAsia="en-AU"/>
              </w:rPr>
            </w:pPr>
            <w:r>
              <w:rPr>
                <w:lang w:val="en-AU" w:eastAsia="en-AU"/>
              </w:rPr>
              <w:t xml:space="preserve">NOTE 1: </w:t>
            </w:r>
            <w:r>
              <w:rPr>
                <w:lang w:val="en-AU" w:eastAsia="en-AU"/>
              </w:rPr>
              <w:tab/>
            </w:r>
            <w:r w:rsidR="00D71619">
              <w:rPr>
                <w:lang w:val="en-AU" w:eastAsia="en-AU"/>
              </w:rPr>
              <w:t xml:space="preserve">The MCOT </w:t>
            </w:r>
            <w:r w:rsidRPr="00E30963">
              <w:rPr>
                <w:lang w:val="en-AU" w:eastAsia="en-AU"/>
              </w:rPr>
              <w:t xml:space="preserve">of 6 </w:t>
            </w:r>
            <w:proofErr w:type="spellStart"/>
            <w:r w:rsidRPr="00E30963">
              <w:rPr>
                <w:lang w:val="en-AU" w:eastAsia="en-AU"/>
              </w:rPr>
              <w:t>ms</w:t>
            </w:r>
            <w:proofErr w:type="spellEnd"/>
            <w:r w:rsidRPr="00E30963">
              <w:rPr>
                <w:lang w:val="en-AU" w:eastAsia="en-AU"/>
              </w:rPr>
              <w:t xml:space="preserve"> may be increased to 8 </w:t>
            </w:r>
            <w:proofErr w:type="spellStart"/>
            <w:r w:rsidRPr="00E30963">
              <w:rPr>
                <w:lang w:val="en-AU" w:eastAsia="en-AU"/>
              </w:rPr>
              <w:t>ms</w:t>
            </w:r>
            <w:proofErr w:type="spellEnd"/>
            <w:r w:rsidRPr="00E30963">
              <w:rPr>
                <w:lang w:val="en-AU" w:eastAsia="en-AU"/>
              </w:rPr>
              <w:t xml:space="preserve"> by inserting one or more pauses. The minimum duration of a pause shall be 100 µs. The maximum </w:t>
            </w:r>
            <w:r>
              <w:rPr>
                <w:lang w:val="en-AU" w:eastAsia="en-AU"/>
              </w:rPr>
              <w:t xml:space="preserve">duration </w:t>
            </w:r>
            <w:r w:rsidRPr="00976DA1">
              <w:rPr>
                <w:lang w:val="en-AU" w:eastAsia="en-AU"/>
              </w:rPr>
              <w:t>(Channel Occupancy)</w:t>
            </w:r>
            <w:r>
              <w:rPr>
                <w:i/>
                <w:lang w:val="en-AU" w:eastAsia="en-AU"/>
              </w:rPr>
              <w:t xml:space="preserve"> </w:t>
            </w:r>
            <w:r>
              <w:rPr>
                <w:lang w:val="en-AU" w:eastAsia="en-AU"/>
              </w:rPr>
              <w:t xml:space="preserve">before including any such pause </w:t>
            </w:r>
            <w:r w:rsidRPr="00E30963">
              <w:rPr>
                <w:lang w:val="en-AU" w:eastAsia="en-AU"/>
              </w:rPr>
              <w:t xml:space="preserve">shall be 6 </w:t>
            </w:r>
            <w:proofErr w:type="spellStart"/>
            <w:r w:rsidRPr="00E30963">
              <w:rPr>
                <w:lang w:val="en-AU" w:eastAsia="en-AU"/>
              </w:rPr>
              <w:t>ms</w:t>
            </w:r>
            <w:proofErr w:type="spellEnd"/>
            <w:r w:rsidRPr="00E30963">
              <w:rPr>
                <w:lang w:val="en-AU" w:eastAsia="en-AU"/>
              </w:rPr>
              <w:t xml:space="preserve">. </w:t>
            </w:r>
            <w:r w:rsidR="00582F5F">
              <w:rPr>
                <w:lang w:val="en-AU" w:eastAsia="en-AU"/>
              </w:rPr>
              <w:t>The p</w:t>
            </w:r>
            <w:r w:rsidRPr="00E30963">
              <w:rPr>
                <w:lang w:val="en-AU" w:eastAsia="en-AU"/>
              </w:rPr>
              <w:t xml:space="preserve">ause </w:t>
            </w:r>
            <w:r>
              <w:rPr>
                <w:lang w:val="en-AU" w:eastAsia="en-AU"/>
              </w:rPr>
              <w:t xml:space="preserve">duration </w:t>
            </w:r>
            <w:r w:rsidRPr="00E30963">
              <w:rPr>
                <w:lang w:val="en-AU" w:eastAsia="en-AU"/>
              </w:rPr>
              <w:t>is not included in the channel occupancy time.</w:t>
            </w:r>
            <w:r>
              <w:rPr>
                <w:lang w:val="en-AU" w:eastAsia="en-AU"/>
              </w:rPr>
              <w:t xml:space="preserve"> </w:t>
            </w:r>
          </w:p>
          <w:p w14:paraId="793196BF" w14:textId="77777777" w:rsidR="00582F5F" w:rsidRDefault="00582F5F" w:rsidP="007C7B6C">
            <w:pPr>
              <w:pStyle w:val="TAN"/>
              <w:rPr>
                <w:lang w:val="en-AU" w:eastAsia="en-AU"/>
              </w:rPr>
            </w:pPr>
          </w:p>
          <w:p w14:paraId="5EB80346" w14:textId="170A1F05" w:rsidR="00582F5F" w:rsidRPr="00582F5F" w:rsidRDefault="00582F5F" w:rsidP="00582F5F">
            <w:pPr>
              <w:pStyle w:val="TAN"/>
              <w:rPr>
                <w:lang w:val="en-AU" w:eastAsia="en-AU"/>
              </w:rPr>
            </w:pPr>
            <w:r>
              <w:rPr>
                <w:lang w:val="en-AU" w:eastAsia="en-AU"/>
              </w:rPr>
              <w:t xml:space="preserve">NOTE 2: </w:t>
            </w:r>
            <w:r w:rsidRPr="00ED68F7">
              <w:rPr>
                <w:lang w:val="en-US"/>
              </w:rPr>
              <w:t xml:space="preserve">If the absence of any other technology sharing the carrier can be guaranteed on a long term basis (e.g. by level of regulation), the maximum </w:t>
            </w:r>
            <w:r w:rsidRPr="00C44641">
              <w:rPr>
                <w:rFonts w:eastAsia="MS Mincho" w:hint="eastAsia"/>
                <w:lang w:val="en-US" w:eastAsia="ja-JP"/>
              </w:rPr>
              <w:t>channel occupancy time for LB</w:t>
            </w:r>
            <w:r w:rsidRPr="00AA362F">
              <w:rPr>
                <w:rFonts w:eastAsia="MS Mincho" w:hint="eastAsia"/>
                <w:lang w:val="en-US" w:eastAsia="ja-JP"/>
              </w:rPr>
              <w:t xml:space="preserve">T priority </w:t>
            </w:r>
            <w:r w:rsidRPr="00AA362F">
              <w:rPr>
                <w:rFonts w:eastAsia="MS Mincho"/>
                <w:lang w:val="en-US" w:eastAsia="ja-JP"/>
              </w:rPr>
              <w:t>classes</w:t>
            </w:r>
            <w:r w:rsidRPr="00AA362F">
              <w:rPr>
                <w:rFonts w:eastAsia="MS Mincho" w:hint="eastAsia"/>
                <w:lang w:val="en-US" w:eastAsia="ja-JP"/>
              </w:rPr>
              <w:t xml:space="preserve"> </w:t>
            </w:r>
            <w:r>
              <w:rPr>
                <w:rFonts w:eastAsia="MS Mincho" w:hint="eastAsia"/>
                <w:lang w:val="en-US" w:eastAsia="ja-JP"/>
              </w:rPr>
              <w:t>3 and 4 is for 10</w:t>
            </w:r>
            <w:r w:rsidRPr="00AA362F">
              <w:rPr>
                <w:rFonts w:eastAsia="MS Mincho" w:hint="eastAsia"/>
                <w:lang w:val="en-US" w:eastAsia="ja-JP"/>
              </w:rPr>
              <w:t xml:space="preserve"> </w:t>
            </w:r>
            <w:proofErr w:type="spellStart"/>
            <w:r w:rsidRPr="00AA362F">
              <w:rPr>
                <w:rFonts w:eastAsia="MS Mincho" w:hint="eastAsia"/>
                <w:lang w:val="en-US" w:eastAsia="ja-JP"/>
              </w:rPr>
              <w:t>msec</w:t>
            </w:r>
            <w:proofErr w:type="spellEnd"/>
            <w:r>
              <w:rPr>
                <w:rFonts w:eastAsia="MS Mincho" w:hint="eastAsia"/>
                <w:lang w:val="en-US" w:eastAsia="ja-JP"/>
              </w:rPr>
              <w:t>, otherwise,</w:t>
            </w:r>
            <w:r w:rsidRPr="000C3412">
              <w:rPr>
                <w:rFonts w:eastAsia="MS Mincho" w:hint="eastAsia"/>
                <w:lang w:val="en-US" w:eastAsia="ja-JP"/>
              </w:rPr>
              <w:t xml:space="preserve"> </w:t>
            </w:r>
            <w:r>
              <w:rPr>
                <w:rFonts w:eastAsia="MS Mincho" w:hint="eastAsia"/>
                <w:lang w:val="en-US" w:eastAsia="ja-JP"/>
              </w:rPr>
              <w:t>m</w:t>
            </w:r>
            <w:r w:rsidRPr="00C44641">
              <w:rPr>
                <w:rFonts w:eastAsia="MS Mincho" w:hint="eastAsia"/>
                <w:lang w:val="en-US" w:eastAsia="ja-JP"/>
              </w:rPr>
              <w:t xml:space="preserve">aximum channel occupancy time for LBT priority </w:t>
            </w:r>
            <w:r w:rsidRPr="00C44641">
              <w:rPr>
                <w:rFonts w:eastAsia="MS Mincho"/>
                <w:lang w:val="en-US" w:eastAsia="ja-JP"/>
              </w:rPr>
              <w:t>classes</w:t>
            </w:r>
            <w:r>
              <w:rPr>
                <w:rFonts w:eastAsia="MS Mincho" w:hint="eastAsia"/>
                <w:lang w:val="en-US" w:eastAsia="ja-JP"/>
              </w:rPr>
              <w:t xml:space="preserve"> 3 and 4 is </w:t>
            </w:r>
            <w:r>
              <w:rPr>
                <w:rFonts w:eastAsia="MS Mincho"/>
                <w:lang w:val="en-US" w:eastAsia="ja-JP"/>
              </w:rPr>
              <w:t>6ms as in note 1.</w:t>
            </w:r>
          </w:p>
          <w:p w14:paraId="45440D1E" w14:textId="77777777" w:rsidR="00582F5F" w:rsidRPr="00582F5F" w:rsidRDefault="00582F5F" w:rsidP="007C7B6C">
            <w:pPr>
              <w:pStyle w:val="TAN"/>
              <w:rPr>
                <w:lang w:val="en-US" w:eastAsia="en-AU"/>
              </w:rPr>
            </w:pPr>
          </w:p>
          <w:p w14:paraId="5E6A89B5" w14:textId="77777777" w:rsidR="007C7B6C" w:rsidRPr="007C7B6C" w:rsidRDefault="007C7B6C" w:rsidP="004E4F18">
            <w:pPr>
              <w:pStyle w:val="TAC"/>
              <w:rPr>
                <w:lang w:val="en-AU"/>
              </w:rPr>
            </w:pPr>
          </w:p>
        </w:tc>
      </w:tr>
    </w:tbl>
    <w:p w14:paraId="476DE56D" w14:textId="77777777" w:rsidR="00582F5F" w:rsidRPr="00582F5F" w:rsidRDefault="00582F5F" w:rsidP="00E262FD">
      <w:pPr>
        <w:spacing w:after="0"/>
      </w:pPr>
    </w:p>
    <w:p w14:paraId="1C639732" w14:textId="00D1F3A5" w:rsidR="004E64B0" w:rsidRDefault="00E262FD" w:rsidP="00E262FD">
      <w:pPr>
        <w:pStyle w:val="IvDInstructiontext"/>
        <w:rPr>
          <w:rStyle w:val="IvDbodytextChar"/>
          <w:i w:val="0"/>
          <w:color w:val="auto"/>
          <w:sz w:val="20"/>
          <w:szCs w:val="20"/>
        </w:rPr>
      </w:pPr>
      <w:r w:rsidRPr="00E262FD">
        <w:rPr>
          <w:i w:val="0"/>
          <w:color w:val="auto"/>
          <w:sz w:val="20"/>
          <w:szCs w:val="20"/>
          <w:lang w:val="en-GB"/>
        </w:rPr>
        <w:t>On CW adjustment for UL LBT based on Cat 4, we prefer to follow the same principle as Rel-13</w:t>
      </w:r>
      <w:r>
        <w:rPr>
          <w:i w:val="0"/>
          <w:color w:val="auto"/>
          <w:sz w:val="20"/>
          <w:szCs w:val="20"/>
          <w:lang w:val="en-GB"/>
        </w:rPr>
        <w:t xml:space="preserve"> with the adjustments needed for UL transmissions. In principle for a given LBT priority class, the contention window can be increased in case of retransmissions for a reference subframe in the UL transmission burst. However depending on the HARQ processes in use some considerations should be taken into account.</w:t>
      </w:r>
      <w:r w:rsidR="004E64B0">
        <w:rPr>
          <w:rStyle w:val="IvDbodytextChar"/>
          <w:i w:val="0"/>
          <w:color w:val="auto"/>
          <w:sz w:val="20"/>
          <w:szCs w:val="20"/>
        </w:rPr>
        <w:t xml:space="preserve"> </w:t>
      </w:r>
      <w:r w:rsidR="00BB2DC7">
        <w:rPr>
          <w:i w:val="0"/>
          <w:color w:val="auto"/>
          <w:sz w:val="20"/>
          <w:szCs w:val="20"/>
          <w:lang w:val="en-GB"/>
        </w:rPr>
        <w:t xml:space="preserve">Our first preference was to have the </w:t>
      </w:r>
      <w:proofErr w:type="spellStart"/>
      <w:r w:rsidR="00BB2DC7">
        <w:rPr>
          <w:i w:val="0"/>
          <w:color w:val="auto"/>
          <w:sz w:val="20"/>
          <w:szCs w:val="20"/>
          <w:lang w:val="en-GB"/>
        </w:rPr>
        <w:t>eNB</w:t>
      </w:r>
      <w:proofErr w:type="spellEnd"/>
      <w:r w:rsidR="00BB2DC7">
        <w:rPr>
          <w:i w:val="0"/>
          <w:color w:val="auto"/>
          <w:sz w:val="20"/>
          <w:szCs w:val="20"/>
          <w:lang w:val="en-GB"/>
        </w:rPr>
        <w:t xml:space="preserve"> signal the parameters for the category 4 LBT to be performed by the UE. However, considering the signalling overhead, it is possible for the UE to manage the LBT parameters as well. However, specific procedures may need to be followed at the UE which will add additional complexity to the UE.</w:t>
      </w:r>
    </w:p>
    <w:p w14:paraId="3AD27C97" w14:textId="4C7A0AF1" w:rsidR="00E262FD" w:rsidRDefault="00E262FD" w:rsidP="00E262FD">
      <w:pPr>
        <w:pStyle w:val="IvDInstructiontext"/>
        <w:rPr>
          <w:rStyle w:val="IvDbodytextChar"/>
          <w:i w:val="0"/>
          <w:color w:val="auto"/>
          <w:sz w:val="20"/>
          <w:szCs w:val="20"/>
        </w:rPr>
      </w:pPr>
    </w:p>
    <w:p w14:paraId="6BF1CFCA" w14:textId="77777777" w:rsidR="004E64B0" w:rsidRDefault="004E64B0" w:rsidP="00E262FD">
      <w:pPr>
        <w:pStyle w:val="IvDInstructiontext"/>
        <w:rPr>
          <w:rStyle w:val="IvDbodytextChar"/>
          <w:i w:val="0"/>
          <w:color w:val="auto"/>
          <w:sz w:val="20"/>
          <w:szCs w:val="20"/>
        </w:rPr>
      </w:pPr>
    </w:p>
    <w:p w14:paraId="38C2F3E3" w14:textId="2A13242E" w:rsidR="00D71619" w:rsidRPr="00D71619" w:rsidRDefault="00D71619" w:rsidP="00E262FD">
      <w:pPr>
        <w:pStyle w:val="IvDInstructiontext"/>
        <w:rPr>
          <w:rStyle w:val="IvDbodytextChar"/>
          <w:b/>
          <w:i w:val="0"/>
          <w:color w:val="auto"/>
          <w:sz w:val="20"/>
          <w:szCs w:val="20"/>
        </w:rPr>
      </w:pPr>
      <w:r w:rsidRPr="00D71619">
        <w:rPr>
          <w:rStyle w:val="IvDbodytextChar"/>
          <w:b/>
          <w:i w:val="0"/>
          <w:color w:val="auto"/>
          <w:sz w:val="20"/>
          <w:szCs w:val="20"/>
        </w:rPr>
        <w:lastRenderedPageBreak/>
        <w:t>Proposals:</w:t>
      </w:r>
    </w:p>
    <w:p w14:paraId="7F32E281" w14:textId="67CCF5A0" w:rsidR="00693AC9" w:rsidRPr="00693AC9" w:rsidRDefault="00693AC9" w:rsidP="00D71619">
      <w:pPr>
        <w:pStyle w:val="ListParagraph"/>
        <w:numPr>
          <w:ilvl w:val="0"/>
          <w:numId w:val="16"/>
        </w:numPr>
        <w:spacing w:before="100" w:beforeAutospacing="1" w:after="100" w:afterAutospacing="1"/>
        <w:rPr>
          <w:rStyle w:val="IvDbodytextChar"/>
          <w:rFonts w:cs="Arial"/>
          <w:spacing w:val="0"/>
          <w:sz w:val="20"/>
          <w:szCs w:val="20"/>
        </w:rPr>
      </w:pPr>
      <w:r>
        <w:rPr>
          <w:rStyle w:val="IvDbodytextChar"/>
          <w:sz w:val="20"/>
          <w:szCs w:val="20"/>
        </w:rPr>
        <w:t xml:space="preserve">The following procedure </w:t>
      </w:r>
      <w:r>
        <w:rPr>
          <w:rStyle w:val="IvDbodytextChar"/>
          <w:sz w:val="20"/>
          <w:szCs w:val="20"/>
        </w:rPr>
        <w:t xml:space="preserve">is </w:t>
      </w:r>
      <w:r>
        <w:rPr>
          <w:rStyle w:val="IvDbodytextChar"/>
          <w:sz w:val="20"/>
          <w:szCs w:val="20"/>
        </w:rPr>
        <w:t xml:space="preserve">used by the UE to increase or reset to the minimum value the contention window size for performing LBT prior to transmission of a UL burst for which the </w:t>
      </w:r>
      <w:proofErr w:type="spellStart"/>
      <w:r>
        <w:rPr>
          <w:rStyle w:val="IvDbodytextChar"/>
          <w:sz w:val="20"/>
          <w:szCs w:val="20"/>
        </w:rPr>
        <w:t>eNB</w:t>
      </w:r>
      <w:proofErr w:type="spellEnd"/>
      <w:r>
        <w:rPr>
          <w:rStyle w:val="IvDbodytextChar"/>
          <w:sz w:val="20"/>
          <w:szCs w:val="20"/>
        </w:rPr>
        <w:t xml:space="preserve"> has indicated that LBT using a category 4 random </w:t>
      </w:r>
      <w:proofErr w:type="spellStart"/>
      <w:r>
        <w:rPr>
          <w:rStyle w:val="IvDbodytextChar"/>
          <w:sz w:val="20"/>
          <w:szCs w:val="20"/>
        </w:rPr>
        <w:t>backoff</w:t>
      </w:r>
      <w:proofErr w:type="spellEnd"/>
      <w:r>
        <w:rPr>
          <w:rStyle w:val="IvDbodytextChar"/>
          <w:sz w:val="20"/>
          <w:szCs w:val="20"/>
        </w:rPr>
        <w:t xml:space="preserve"> procedure (where contention window sizes can be increased) must be performed</w:t>
      </w:r>
    </w:p>
    <w:p w14:paraId="2BC4F114" w14:textId="77777777" w:rsidR="00693AC9" w:rsidRDefault="00693AC9" w:rsidP="004B4C3B">
      <w:pPr>
        <w:pStyle w:val="IvDInstructiontext"/>
        <w:numPr>
          <w:ilvl w:val="1"/>
          <w:numId w:val="16"/>
        </w:numPr>
        <w:rPr>
          <w:rStyle w:val="IvDbodytextChar"/>
          <w:i w:val="0"/>
          <w:color w:val="auto"/>
          <w:sz w:val="20"/>
          <w:szCs w:val="20"/>
        </w:rPr>
      </w:pPr>
      <w:r>
        <w:rPr>
          <w:rStyle w:val="IvDbodytextChar"/>
          <w:i w:val="0"/>
          <w:color w:val="auto"/>
          <w:sz w:val="20"/>
          <w:szCs w:val="20"/>
        </w:rPr>
        <w:t xml:space="preserve">The most recent scheduled burst of contiguous </w:t>
      </w:r>
      <w:proofErr w:type="spellStart"/>
      <w:r>
        <w:rPr>
          <w:rStyle w:val="IvDbodytextChar"/>
          <w:i w:val="0"/>
          <w:color w:val="auto"/>
          <w:sz w:val="20"/>
          <w:szCs w:val="20"/>
        </w:rPr>
        <w:t>subframes</w:t>
      </w:r>
      <w:proofErr w:type="spellEnd"/>
      <w:r>
        <w:rPr>
          <w:rStyle w:val="IvDbodytextChar"/>
          <w:i w:val="0"/>
          <w:color w:val="auto"/>
          <w:sz w:val="20"/>
          <w:szCs w:val="20"/>
        </w:rPr>
        <w:t xml:space="preserve"> (excluding the currently scheduled burst) for which the HARQ process number used in the first </w:t>
      </w:r>
      <w:proofErr w:type="spellStart"/>
      <w:r>
        <w:rPr>
          <w:rStyle w:val="IvDbodytextChar"/>
          <w:i w:val="0"/>
          <w:color w:val="auto"/>
          <w:sz w:val="20"/>
          <w:szCs w:val="20"/>
        </w:rPr>
        <w:t>subframe</w:t>
      </w:r>
      <w:proofErr w:type="spellEnd"/>
      <w:r>
        <w:rPr>
          <w:rStyle w:val="IvDbodytextChar"/>
          <w:i w:val="0"/>
          <w:color w:val="auto"/>
          <w:sz w:val="20"/>
          <w:szCs w:val="20"/>
        </w:rPr>
        <w:t xml:space="preserve"> of the burst also appears in the currently scheduled burst is used as the reference transmission burst by the UE. The HARQ process which satisfies the above condition is used as the reference HARQ process to determine the contention window size.</w:t>
      </w:r>
    </w:p>
    <w:p w14:paraId="3D614463" w14:textId="77777777" w:rsidR="00693AC9" w:rsidRDefault="00693AC9" w:rsidP="004B4C3B">
      <w:pPr>
        <w:pStyle w:val="IvDInstructiontext"/>
        <w:numPr>
          <w:ilvl w:val="1"/>
          <w:numId w:val="16"/>
        </w:numPr>
        <w:rPr>
          <w:rStyle w:val="IvDbodytextChar"/>
          <w:i w:val="0"/>
          <w:color w:val="auto"/>
          <w:sz w:val="20"/>
          <w:szCs w:val="20"/>
        </w:rPr>
      </w:pPr>
      <w:r>
        <w:rPr>
          <w:rStyle w:val="IvDbodytextChar"/>
          <w:i w:val="0"/>
          <w:color w:val="auto"/>
          <w:sz w:val="20"/>
          <w:szCs w:val="20"/>
        </w:rPr>
        <w:t>If the NDI bit for the reference HARQ process is set to 0 indicating that this is a retransmission, the contention window size is increased to the next higher value in the set of contention window sizes for the priority class that was used to perform LBT prior to transmission of the reference transmission burst.</w:t>
      </w:r>
    </w:p>
    <w:p w14:paraId="7235766A" w14:textId="35638BD2" w:rsidR="00BB2DC7" w:rsidRPr="004B4C3B" w:rsidRDefault="00BB2DC7" w:rsidP="004B4C3B">
      <w:pPr>
        <w:pStyle w:val="IvDInstructiontext"/>
        <w:numPr>
          <w:ilvl w:val="1"/>
          <w:numId w:val="16"/>
        </w:numPr>
        <w:rPr>
          <w:i w:val="0"/>
          <w:color w:val="auto"/>
          <w:sz w:val="20"/>
          <w:szCs w:val="20"/>
        </w:rPr>
      </w:pPr>
      <w:r>
        <w:rPr>
          <w:rStyle w:val="IvDbodytextChar"/>
          <w:i w:val="0"/>
          <w:color w:val="auto"/>
          <w:sz w:val="20"/>
          <w:szCs w:val="20"/>
        </w:rPr>
        <w:t>Otherwise</w:t>
      </w:r>
      <w:r w:rsidR="00693AC9">
        <w:rPr>
          <w:rStyle w:val="IvDbodytextChar"/>
          <w:i w:val="0"/>
          <w:color w:val="auto"/>
          <w:sz w:val="20"/>
          <w:szCs w:val="20"/>
        </w:rPr>
        <w:t xml:space="preserve"> if the NDI bit for the reference HARQ process is set to 1 indicating that this grant is for the transmission of a new transport block, the contention window size is reset to the minimum value in the set of contention window sizes for the priority class that is being used by the UE to perform LBT prior to transmission of the current transmission burst. This priority class may either be chosen by the UE based on the traffic type it intends to transmit or may be indicated by the </w:t>
      </w:r>
      <w:proofErr w:type="spellStart"/>
      <w:r w:rsidR="00693AC9">
        <w:rPr>
          <w:rStyle w:val="IvDbodytextChar"/>
          <w:i w:val="0"/>
          <w:color w:val="auto"/>
          <w:sz w:val="20"/>
          <w:szCs w:val="20"/>
        </w:rPr>
        <w:t>eNB</w:t>
      </w:r>
      <w:proofErr w:type="spellEnd"/>
      <w:r w:rsidR="00693AC9">
        <w:rPr>
          <w:rStyle w:val="IvDbodytextChar"/>
          <w:i w:val="0"/>
          <w:color w:val="auto"/>
          <w:sz w:val="20"/>
          <w:szCs w:val="20"/>
        </w:rPr>
        <w:t xml:space="preserve"> in the UL grants for the current transmission burst.</w:t>
      </w:r>
    </w:p>
    <w:p w14:paraId="182335F8" w14:textId="77777777" w:rsidR="00D71619" w:rsidRPr="00D71619" w:rsidRDefault="00C14D92" w:rsidP="00D71619">
      <w:pPr>
        <w:pStyle w:val="ListParagraph"/>
        <w:numPr>
          <w:ilvl w:val="0"/>
          <w:numId w:val="16"/>
        </w:numPr>
        <w:spacing w:before="100" w:beforeAutospacing="1" w:after="100" w:afterAutospacing="1"/>
        <w:rPr>
          <w:rFonts w:ascii="Arial" w:hAnsi="Arial" w:cs="Arial"/>
          <w:sz w:val="20"/>
          <w:szCs w:val="20"/>
        </w:rPr>
      </w:pPr>
      <w:r w:rsidRPr="00D71619">
        <w:rPr>
          <w:rFonts w:ascii="Arial" w:eastAsia="MS Mincho" w:hAnsi="Arial" w:cs="Arial"/>
          <w:sz w:val="20"/>
          <w:szCs w:val="20"/>
          <w:lang w:eastAsia="ja-JP"/>
        </w:rPr>
        <w:t>The CW size is reset to the minimum value if the maximum CW size is used for K consecutive LBT attempts for transmission</w:t>
      </w:r>
    </w:p>
    <w:p w14:paraId="50B110AD" w14:textId="19DA2EFB" w:rsidR="0001411E" w:rsidRPr="00D71619" w:rsidRDefault="00C14D92" w:rsidP="00D71619">
      <w:pPr>
        <w:pStyle w:val="ListParagraph"/>
        <w:numPr>
          <w:ilvl w:val="1"/>
          <w:numId w:val="16"/>
        </w:numPr>
        <w:spacing w:before="100" w:beforeAutospacing="1" w:after="100" w:afterAutospacing="1"/>
        <w:rPr>
          <w:rFonts w:ascii="Arial" w:hAnsi="Arial" w:cs="Arial"/>
          <w:sz w:val="20"/>
          <w:szCs w:val="20"/>
        </w:rPr>
      </w:pPr>
      <w:r w:rsidRPr="00D71619">
        <w:rPr>
          <w:rFonts w:ascii="Arial" w:eastAsia="MS Mincho" w:hAnsi="Arial" w:cs="Arial"/>
          <w:sz w:val="20"/>
          <w:szCs w:val="20"/>
          <w:lang w:eastAsia="ja-JP"/>
        </w:rPr>
        <w:t>K is selected by implementation from the set of values from (1, …</w:t>
      </w:r>
      <w:proofErr w:type="gramStart"/>
      <w:r w:rsidRPr="00D71619">
        <w:rPr>
          <w:rFonts w:ascii="Arial" w:eastAsia="MS Mincho" w:hAnsi="Arial" w:cs="Arial"/>
          <w:sz w:val="20"/>
          <w:szCs w:val="20"/>
          <w:lang w:eastAsia="ja-JP"/>
        </w:rPr>
        <w:t>,8</w:t>
      </w:r>
      <w:proofErr w:type="gramEnd"/>
      <w:r w:rsidRPr="00D71619">
        <w:rPr>
          <w:rFonts w:ascii="Arial" w:eastAsia="MS Mincho" w:hAnsi="Arial" w:cs="Arial"/>
          <w:sz w:val="20"/>
          <w:szCs w:val="20"/>
          <w:lang w:eastAsia="ja-JP"/>
        </w:rPr>
        <w:t>).</w:t>
      </w:r>
    </w:p>
    <w:p w14:paraId="5E98A046" w14:textId="274A36FA" w:rsidR="00C14D92" w:rsidRPr="00C14D92" w:rsidRDefault="00C14D92" w:rsidP="00D71619">
      <w:pPr>
        <w:overflowPunct/>
        <w:autoSpaceDE/>
        <w:autoSpaceDN/>
        <w:adjustRightInd/>
        <w:spacing w:before="100" w:beforeAutospacing="1" w:after="100" w:afterAutospacing="1"/>
        <w:textAlignment w:val="auto"/>
        <w:rPr>
          <w:rFonts w:cs="Arial"/>
          <w:lang w:val="en-US"/>
        </w:rPr>
      </w:pPr>
      <w:r w:rsidRPr="00C14D92">
        <w:rPr>
          <w:rFonts w:cs="Arial"/>
          <w:lang w:val="en-US"/>
        </w:rPr>
        <w:t xml:space="preserve">Moreover we believe that for efficient operation it is essential that eNB is in charge of LBT parameters to avoid incorrect scheduling cases. For example if the eNB is not aware of the random back off counter or the corresponding CW size used by a UE to access the channel, the scheduler may schedule a UE for UL transmission at a time instant </w:t>
      </w:r>
      <w:r>
        <w:rPr>
          <w:rFonts w:cs="Arial"/>
          <w:lang w:val="en-US"/>
        </w:rPr>
        <w:t xml:space="preserve">that UL LBT would fail even in case of an idle channel. This knowledge can be communicated with UE in an implicit or an explicit manner. </w:t>
      </w:r>
      <w:r w:rsidRPr="00C14D92">
        <w:rPr>
          <w:rFonts w:cs="Arial"/>
          <w:lang w:val="en-US"/>
        </w:rPr>
        <w:t>Our companion contribution addresses the details of signaling</w:t>
      </w:r>
      <w:r>
        <w:rPr>
          <w:rFonts w:cs="Arial"/>
          <w:lang w:val="en-US"/>
        </w:rPr>
        <w:t xml:space="preserve"> the LBT parameters </w:t>
      </w:r>
      <w:r>
        <w:rPr>
          <w:rFonts w:cs="Arial"/>
          <w:lang w:val="en-US"/>
        </w:rPr>
        <w:fldChar w:fldCharType="begin"/>
      </w:r>
      <w:r>
        <w:rPr>
          <w:rFonts w:cs="Arial"/>
          <w:lang w:val="en-US"/>
        </w:rPr>
        <w:instrText xml:space="preserve"> REF _Ref450900565 \n \h </w:instrText>
      </w:r>
      <w:r>
        <w:rPr>
          <w:rFonts w:cs="Arial"/>
          <w:lang w:val="en-US"/>
        </w:rPr>
      </w:r>
      <w:r>
        <w:rPr>
          <w:rFonts w:cs="Arial"/>
          <w:lang w:val="en-US"/>
        </w:rPr>
        <w:fldChar w:fldCharType="separate"/>
      </w:r>
      <w:r>
        <w:rPr>
          <w:rFonts w:cs="Arial"/>
          <w:lang w:val="en-US"/>
        </w:rPr>
        <w:t>[4]</w:t>
      </w:r>
      <w:r>
        <w:rPr>
          <w:rFonts w:cs="Arial"/>
          <w:lang w:val="en-US"/>
        </w:rPr>
        <w:fldChar w:fldCharType="end"/>
      </w:r>
      <w:r w:rsidRPr="00C14D92">
        <w:rPr>
          <w:rFonts w:cs="Arial"/>
          <w:lang w:val="en-US"/>
        </w:rPr>
        <w:t>.</w:t>
      </w:r>
    </w:p>
    <w:p w14:paraId="2C1D07F3" w14:textId="27B62A41" w:rsidR="002A7445" w:rsidRDefault="002A7445" w:rsidP="00BA2B7A">
      <w:pPr>
        <w:pStyle w:val="Heading2"/>
      </w:pPr>
      <w:r>
        <w:t>Multi-carrier operation</w:t>
      </w:r>
    </w:p>
    <w:p w14:paraId="47E76B8F" w14:textId="5D8FC4F2" w:rsidR="008A718A" w:rsidRDefault="00AB63BB" w:rsidP="00AB63BB">
      <w:r>
        <w:t xml:space="preserve">The evaluations in </w:t>
      </w:r>
      <w:r w:rsidR="00C14D92">
        <w:fldChar w:fldCharType="begin"/>
      </w:r>
      <w:r w:rsidR="00C14D92">
        <w:instrText xml:space="preserve"> REF _Ref450900555 \n \h </w:instrText>
      </w:r>
      <w:r w:rsidR="00C14D92">
        <w:fldChar w:fldCharType="separate"/>
      </w:r>
      <w:r w:rsidR="00C14D92">
        <w:t>[3]</w:t>
      </w:r>
      <w:r w:rsidR="00C14D92">
        <w:fldChar w:fldCharType="end"/>
      </w:r>
      <w:r>
        <w:t xml:space="preserve"> show that </w:t>
      </w:r>
      <w:r w:rsidR="008A718A">
        <w:t>extending UE single channel operation to multi-channel operation does not create any coexistence issue when LAA coexist with a neighbouring Wi-Fi network. Therefore we</w:t>
      </w:r>
      <w:r w:rsidR="00C14D92">
        <w:t xml:space="preserve"> propose the following for</w:t>
      </w:r>
      <w:r w:rsidR="008A718A">
        <w:t xml:space="preserve"> </w:t>
      </w:r>
      <w:proofErr w:type="spellStart"/>
      <w:r w:rsidR="00C14D92">
        <w:t>e</w:t>
      </w:r>
      <w:r w:rsidR="008A718A">
        <w:t>LAA</w:t>
      </w:r>
      <w:proofErr w:type="spellEnd"/>
      <w:r w:rsidR="008A718A">
        <w:t xml:space="preserve"> UL multi-carrier operation:</w:t>
      </w:r>
    </w:p>
    <w:p w14:paraId="284C0165" w14:textId="77777777" w:rsidR="00AB63BB" w:rsidRDefault="00AB63BB" w:rsidP="00AB63BB">
      <w:pPr>
        <w:rPr>
          <w:b/>
        </w:rPr>
      </w:pPr>
      <w:r>
        <w:rPr>
          <w:b/>
        </w:rPr>
        <w:t xml:space="preserve">Proposal: </w:t>
      </w:r>
    </w:p>
    <w:p w14:paraId="62E4F78C" w14:textId="3647DDE3" w:rsidR="008A718A" w:rsidRDefault="006A4DC6" w:rsidP="000D1B11">
      <w:pPr>
        <w:pStyle w:val="ListParagraph"/>
        <w:numPr>
          <w:ilvl w:val="0"/>
          <w:numId w:val="13"/>
        </w:numPr>
        <w:rPr>
          <w:rFonts w:ascii="Arial" w:hAnsi="Arial" w:cs="Arial"/>
          <w:sz w:val="20"/>
          <w:szCs w:val="20"/>
        </w:rPr>
      </w:pPr>
      <w:r>
        <w:rPr>
          <w:rFonts w:ascii="Arial" w:hAnsi="Arial" w:cs="Arial"/>
          <w:sz w:val="20"/>
          <w:szCs w:val="20"/>
          <w:lang w:val="en-GB"/>
        </w:rPr>
        <w:t>M</w:t>
      </w:r>
      <w:proofErr w:type="spellStart"/>
      <w:r w:rsidR="00AB63BB">
        <w:rPr>
          <w:rFonts w:ascii="Arial" w:hAnsi="Arial" w:cs="Arial"/>
          <w:sz w:val="20"/>
          <w:szCs w:val="20"/>
        </w:rPr>
        <w:t>ulti</w:t>
      </w:r>
      <w:proofErr w:type="spellEnd"/>
      <w:r w:rsidR="00AB63BB">
        <w:rPr>
          <w:rFonts w:ascii="Arial" w:hAnsi="Arial" w:cs="Arial"/>
          <w:sz w:val="20"/>
          <w:szCs w:val="20"/>
        </w:rPr>
        <w:t>-carrier</w:t>
      </w:r>
      <w:r w:rsidR="00AB63BB" w:rsidRPr="00B41F41">
        <w:rPr>
          <w:rFonts w:ascii="Arial" w:hAnsi="Arial" w:cs="Arial"/>
          <w:sz w:val="20"/>
          <w:szCs w:val="20"/>
        </w:rPr>
        <w:t xml:space="preserve"> LAA UL operation </w:t>
      </w:r>
      <w:r>
        <w:rPr>
          <w:rFonts w:ascii="Arial" w:hAnsi="Arial" w:cs="Arial"/>
          <w:sz w:val="20"/>
          <w:szCs w:val="20"/>
        </w:rPr>
        <w:t xml:space="preserve">is </w:t>
      </w:r>
      <w:r w:rsidR="00AB63BB" w:rsidRPr="00B41F41">
        <w:rPr>
          <w:rFonts w:ascii="Arial" w:hAnsi="Arial" w:cs="Arial"/>
          <w:sz w:val="20"/>
          <w:szCs w:val="20"/>
        </w:rPr>
        <w:t xml:space="preserve">based on </w:t>
      </w:r>
      <w:r w:rsidR="00AB63BB">
        <w:rPr>
          <w:rFonts w:ascii="Arial" w:hAnsi="Arial" w:cs="Arial"/>
          <w:sz w:val="20"/>
          <w:szCs w:val="20"/>
        </w:rPr>
        <w:t>a</w:t>
      </w:r>
      <w:r>
        <w:rPr>
          <w:rFonts w:ascii="Arial" w:hAnsi="Arial" w:cs="Arial"/>
          <w:sz w:val="20"/>
          <w:szCs w:val="20"/>
        </w:rPr>
        <w:t>n</w:t>
      </w:r>
      <w:r w:rsidR="00AB63BB">
        <w:rPr>
          <w:rFonts w:ascii="Arial" w:hAnsi="Arial" w:cs="Arial"/>
          <w:sz w:val="20"/>
          <w:szCs w:val="20"/>
        </w:rPr>
        <w:t xml:space="preserve"> </w:t>
      </w:r>
      <w:r w:rsidR="008A718A">
        <w:rPr>
          <w:rFonts w:ascii="Arial" w:hAnsi="Arial" w:cs="Arial"/>
          <w:sz w:val="20"/>
          <w:szCs w:val="20"/>
        </w:rPr>
        <w:t xml:space="preserve">extension of </w:t>
      </w:r>
      <w:r>
        <w:rPr>
          <w:rFonts w:ascii="Arial" w:hAnsi="Arial" w:cs="Arial"/>
          <w:sz w:val="20"/>
          <w:szCs w:val="20"/>
        </w:rPr>
        <w:t xml:space="preserve">the </w:t>
      </w:r>
      <w:r w:rsidR="008A718A">
        <w:rPr>
          <w:rFonts w:ascii="Arial" w:hAnsi="Arial" w:cs="Arial"/>
          <w:sz w:val="20"/>
          <w:szCs w:val="20"/>
        </w:rPr>
        <w:t>single carrier operation on multiple channels.</w:t>
      </w:r>
    </w:p>
    <w:p w14:paraId="5ADF6912" w14:textId="77777777" w:rsidR="008A718A" w:rsidRDefault="008A718A" w:rsidP="008A718A">
      <w:pPr>
        <w:pStyle w:val="Heading2"/>
      </w:pPr>
      <w:r>
        <w:t>ED threshold for UL LBT</w:t>
      </w:r>
    </w:p>
    <w:p w14:paraId="47CECB3A" w14:textId="77777777" w:rsidR="008A718A" w:rsidRPr="007429F7" w:rsidRDefault="008A718A" w:rsidP="008A718A">
      <w:pPr>
        <w:pStyle w:val="BodyText"/>
      </w:pPr>
      <w:r>
        <w:t>I</w:t>
      </w:r>
      <w:r w:rsidRPr="002F5CC2">
        <w:t>n our view, the requirements on the energy detection threshold can follow the agreement reached in Rel-13 for PDSCH transmission.</w:t>
      </w:r>
    </w:p>
    <w:p w14:paraId="63575B4A" w14:textId="77777777" w:rsidR="008A718A" w:rsidRPr="007429F7" w:rsidRDefault="008A718A" w:rsidP="008A718A">
      <w:pPr>
        <w:pStyle w:val="ListParagraph"/>
        <w:ind w:left="0"/>
        <w:jc w:val="both"/>
        <w:rPr>
          <w:rFonts w:ascii="Arial" w:hAnsi="Arial" w:cs="Arial"/>
          <w:b/>
          <w:sz w:val="20"/>
          <w:szCs w:val="20"/>
        </w:rPr>
      </w:pPr>
      <w:r w:rsidRPr="007429F7">
        <w:rPr>
          <w:rFonts w:ascii="Arial" w:hAnsi="Arial" w:cs="Arial"/>
          <w:b/>
          <w:sz w:val="20"/>
          <w:szCs w:val="20"/>
        </w:rPr>
        <w:t>Proposal:</w:t>
      </w:r>
    </w:p>
    <w:p w14:paraId="3A654A47" w14:textId="170CD8C7" w:rsidR="008A718A" w:rsidRPr="008A718A" w:rsidRDefault="008A718A" w:rsidP="000D1B11">
      <w:pPr>
        <w:pStyle w:val="BodyText"/>
        <w:numPr>
          <w:ilvl w:val="0"/>
          <w:numId w:val="12"/>
        </w:numPr>
        <w:overflowPunct/>
        <w:autoSpaceDE/>
        <w:autoSpaceDN/>
        <w:adjustRightInd/>
        <w:textAlignment w:val="auto"/>
        <w:rPr>
          <w:rFonts w:eastAsia="Calibri" w:cs="Arial"/>
          <w:lang w:val="en-US" w:eastAsia="en-US"/>
        </w:rPr>
      </w:pPr>
      <w:r>
        <w:rPr>
          <w:rFonts w:eastAsia="Calibri" w:cs="Arial"/>
          <w:lang w:val="en-US" w:eastAsia="en-US"/>
        </w:rPr>
        <w:t>Ali</w:t>
      </w:r>
      <w:r w:rsidRPr="007429F7">
        <w:rPr>
          <w:rFonts w:eastAsia="Calibri" w:cs="Arial"/>
          <w:lang w:val="en-US" w:eastAsia="en-US"/>
        </w:rPr>
        <w:t>gn the requirement on the energy detection threshold for PUSCH transmission with the corresponding Rel-13 LAA requirements for PDSCH transmission.</w:t>
      </w:r>
    </w:p>
    <w:p w14:paraId="4D8D43F9" w14:textId="77777777" w:rsidR="00D00AE7" w:rsidRDefault="00D00AE7" w:rsidP="00D00AE7">
      <w:pPr>
        <w:pStyle w:val="Heading1"/>
        <w:rPr>
          <w:lang w:val="en-US"/>
        </w:rPr>
      </w:pPr>
      <w:r>
        <w:rPr>
          <w:lang w:val="en-US"/>
        </w:rPr>
        <w:t>Conclusion</w:t>
      </w:r>
    </w:p>
    <w:p w14:paraId="0C6E6BF5" w14:textId="7CBEA58F" w:rsidR="002F5CC2" w:rsidRDefault="002F5CC2" w:rsidP="002F5CC2">
      <w:pPr>
        <w:pStyle w:val="BodyText"/>
        <w:rPr>
          <w:bCs/>
        </w:rPr>
      </w:pPr>
      <w:r>
        <w:rPr>
          <w:bCs/>
        </w:rPr>
        <w:t xml:space="preserve">In this contribution we discuss </w:t>
      </w:r>
      <w:r w:rsidR="00BD324D">
        <w:rPr>
          <w:bCs/>
        </w:rPr>
        <w:t>UL LBT procedures for enhanced LAA</w:t>
      </w:r>
      <w:r w:rsidR="008A718A">
        <w:rPr>
          <w:bCs/>
        </w:rPr>
        <w:t xml:space="preserve"> and proposed the following:</w:t>
      </w:r>
    </w:p>
    <w:p w14:paraId="628A4A13" w14:textId="77777777" w:rsidR="00232192" w:rsidRDefault="00232192" w:rsidP="00232192">
      <w:pPr>
        <w:pStyle w:val="BodyText"/>
        <w:spacing w:after="0"/>
        <w:rPr>
          <w:b/>
          <w:bCs/>
        </w:rPr>
      </w:pPr>
      <w:r>
        <w:rPr>
          <w:b/>
          <w:bCs/>
        </w:rPr>
        <w:lastRenderedPageBreak/>
        <w:t>Proposal</w:t>
      </w:r>
      <w:r w:rsidRPr="00C875FA">
        <w:rPr>
          <w:b/>
          <w:bCs/>
        </w:rPr>
        <w:t>:</w:t>
      </w:r>
    </w:p>
    <w:p w14:paraId="6E48B93B" w14:textId="77777777" w:rsidR="00232192" w:rsidRPr="005F6276" w:rsidRDefault="00232192" w:rsidP="00232192">
      <w:pPr>
        <w:pStyle w:val="BodyText"/>
        <w:spacing w:after="0"/>
        <w:ind w:left="360"/>
        <w:rPr>
          <w:b/>
          <w:bCs/>
        </w:rPr>
      </w:pPr>
    </w:p>
    <w:p w14:paraId="76F6EFB6" w14:textId="77777777" w:rsidR="00232192" w:rsidRPr="00AB63BB" w:rsidRDefault="00232192" w:rsidP="00232192">
      <w:pPr>
        <w:pStyle w:val="BodyText"/>
        <w:numPr>
          <w:ilvl w:val="0"/>
          <w:numId w:val="14"/>
        </w:numPr>
        <w:overflowPunct/>
        <w:autoSpaceDE/>
        <w:autoSpaceDN/>
        <w:adjustRightInd/>
        <w:spacing w:after="0"/>
        <w:textAlignment w:val="auto"/>
        <w:rPr>
          <w:bCs/>
        </w:rPr>
      </w:pPr>
      <w:r w:rsidRPr="00AB63BB">
        <w:rPr>
          <w:bCs/>
        </w:rPr>
        <w:t xml:space="preserve">For the DL and UL transmissions occurring on the same channel, an eNB starting the DL transmission based on a Cat 4 LBT with a given MCOT, can share its channel occupancy with its UEs such that the total transmission duration by the eNB and UEs does not exceed the MCOT limit. </w:t>
      </w:r>
    </w:p>
    <w:p w14:paraId="7A570CE1" w14:textId="77777777" w:rsidR="00232192" w:rsidRPr="00AB63BB" w:rsidRDefault="00232192" w:rsidP="00232192">
      <w:pPr>
        <w:pStyle w:val="BodyText"/>
        <w:numPr>
          <w:ilvl w:val="1"/>
          <w:numId w:val="14"/>
        </w:numPr>
        <w:overflowPunct/>
        <w:autoSpaceDE/>
        <w:autoSpaceDN/>
        <w:adjustRightInd/>
        <w:spacing w:after="0"/>
        <w:textAlignment w:val="auto"/>
        <w:rPr>
          <w:bCs/>
        </w:rPr>
      </w:pPr>
      <w:r w:rsidRPr="00AB63BB">
        <w:rPr>
          <w:bCs/>
        </w:rPr>
        <w:t>Any gap between two consecutive transmissions that is larger than 25 µs shall not be included in the total transmission duration.</w:t>
      </w:r>
    </w:p>
    <w:p w14:paraId="78960600" w14:textId="77777777" w:rsidR="00232192" w:rsidRPr="00AB63BB" w:rsidRDefault="00232192" w:rsidP="00232192">
      <w:pPr>
        <w:pStyle w:val="BodyText"/>
        <w:numPr>
          <w:ilvl w:val="1"/>
          <w:numId w:val="14"/>
        </w:numPr>
        <w:overflowPunct/>
        <w:autoSpaceDE/>
        <w:autoSpaceDN/>
        <w:adjustRightInd/>
        <w:spacing w:after="0"/>
        <w:textAlignment w:val="auto"/>
        <w:rPr>
          <w:bCs/>
        </w:rPr>
      </w:pPr>
      <w:r w:rsidRPr="00AB63BB">
        <w:rPr>
          <w:bCs/>
        </w:rPr>
        <w:t>[</w:t>
      </w:r>
      <w:r w:rsidRPr="00AB63BB">
        <w:rPr>
          <w:bCs/>
          <w:highlight w:val="green"/>
        </w:rPr>
        <w:t>Agreement</w:t>
      </w:r>
      <w:r w:rsidRPr="00AB63BB">
        <w:rPr>
          <w:bCs/>
        </w:rPr>
        <w:t xml:space="preserve">: An LBT based on a 25 µs CCA can be performed for any of the new UL transmission within the MCOT limit.] </w:t>
      </w:r>
      <w:proofErr w:type="gramStart"/>
      <w:r w:rsidRPr="00AB63BB">
        <w:rPr>
          <w:bCs/>
        </w:rPr>
        <w:t>and</w:t>
      </w:r>
      <w:proofErr w:type="gramEnd"/>
      <w:r w:rsidRPr="00AB63BB">
        <w:rPr>
          <w:bCs/>
        </w:rPr>
        <w:t xml:space="preserve"> shall take place immediately prior to the UL transmission.</w:t>
      </w:r>
    </w:p>
    <w:p w14:paraId="2E712E5B" w14:textId="77777777" w:rsidR="00232192" w:rsidRPr="00AB63BB" w:rsidRDefault="00232192" w:rsidP="00232192">
      <w:pPr>
        <w:pStyle w:val="BodyText"/>
        <w:numPr>
          <w:ilvl w:val="1"/>
          <w:numId w:val="14"/>
        </w:numPr>
        <w:overflowPunct/>
        <w:autoSpaceDE/>
        <w:autoSpaceDN/>
        <w:adjustRightInd/>
        <w:spacing w:after="0"/>
        <w:textAlignment w:val="auto"/>
        <w:rPr>
          <w:bCs/>
        </w:rPr>
      </w:pPr>
      <w:r w:rsidRPr="00AB63BB">
        <w:rPr>
          <w:bCs/>
        </w:rPr>
        <w:t>The eNB shall ensure that the total duration of the transmissions that occur between the start times of transmissions following two successive Category 4 LBT procedures, is less than or equal to the MCOT</w:t>
      </w:r>
    </w:p>
    <w:p w14:paraId="470C1261" w14:textId="77777777" w:rsidR="00232192" w:rsidRPr="00AB63BB" w:rsidRDefault="00232192" w:rsidP="00232192">
      <w:pPr>
        <w:pStyle w:val="BodyText"/>
        <w:numPr>
          <w:ilvl w:val="2"/>
          <w:numId w:val="14"/>
        </w:numPr>
        <w:overflowPunct/>
        <w:autoSpaceDE/>
        <w:autoSpaceDN/>
        <w:adjustRightInd/>
        <w:spacing w:after="0"/>
        <w:textAlignment w:val="auto"/>
        <w:rPr>
          <w:bCs/>
        </w:rPr>
      </w:pPr>
      <w:r w:rsidRPr="00AB63BB">
        <w:rPr>
          <w:bCs/>
        </w:rPr>
        <w:t>The transmissions are from an eNB and all the UEs served by it</w:t>
      </w:r>
    </w:p>
    <w:p w14:paraId="3529EB5B" w14:textId="77777777" w:rsidR="00232192" w:rsidRPr="00AB63BB" w:rsidRDefault="00232192" w:rsidP="00232192">
      <w:pPr>
        <w:pStyle w:val="BodyText"/>
        <w:numPr>
          <w:ilvl w:val="2"/>
          <w:numId w:val="14"/>
        </w:numPr>
        <w:overflowPunct/>
        <w:autoSpaceDE/>
        <w:autoSpaceDN/>
        <w:adjustRightInd/>
        <w:spacing w:after="0"/>
        <w:textAlignment w:val="auto"/>
        <w:rPr>
          <w:bCs/>
        </w:rPr>
      </w:pPr>
      <w:r w:rsidRPr="00AB63BB">
        <w:rPr>
          <w:bCs/>
        </w:rPr>
        <w:t>The successive Category 4 LBT procedures may not be from the same node</w:t>
      </w:r>
    </w:p>
    <w:p w14:paraId="2436CCEA" w14:textId="77777777" w:rsidR="00232192" w:rsidRPr="00AB63BB" w:rsidRDefault="00232192" w:rsidP="00232192">
      <w:pPr>
        <w:pStyle w:val="BodyText"/>
        <w:numPr>
          <w:ilvl w:val="1"/>
          <w:numId w:val="14"/>
        </w:numPr>
        <w:overflowPunct/>
        <w:autoSpaceDE/>
        <w:autoSpaceDN/>
        <w:adjustRightInd/>
        <w:spacing w:after="0"/>
        <w:textAlignment w:val="auto"/>
        <w:rPr>
          <w:bCs/>
        </w:rPr>
      </w:pPr>
      <w:r w:rsidRPr="00AB63BB">
        <w:rPr>
          <w:bCs/>
        </w:rPr>
        <w:t xml:space="preserve">Within an MCOT limit, the eNB shall ensure that there is no more than one gap that is 4 </w:t>
      </w:r>
      <w:proofErr w:type="spellStart"/>
      <w:r w:rsidRPr="00AB63BB">
        <w:rPr>
          <w:bCs/>
        </w:rPr>
        <w:t>ms</w:t>
      </w:r>
      <w:proofErr w:type="spellEnd"/>
      <w:r w:rsidRPr="00AB63BB">
        <w:rPr>
          <w:bCs/>
        </w:rPr>
        <w:t xml:space="preserve"> or greater due to the grant to transmission delay</w:t>
      </w:r>
    </w:p>
    <w:p w14:paraId="655FF217" w14:textId="77777777" w:rsidR="00232192" w:rsidRPr="00AB63BB" w:rsidRDefault="00232192" w:rsidP="00232192">
      <w:pPr>
        <w:pStyle w:val="BodyText"/>
        <w:numPr>
          <w:ilvl w:val="2"/>
          <w:numId w:val="14"/>
        </w:numPr>
        <w:overflowPunct/>
        <w:autoSpaceDE/>
        <w:autoSpaceDN/>
        <w:adjustRightInd/>
        <w:spacing w:after="0"/>
        <w:textAlignment w:val="auto"/>
        <w:rPr>
          <w:bCs/>
        </w:rPr>
      </w:pPr>
      <w:r w:rsidRPr="00AB63BB">
        <w:rPr>
          <w:bCs/>
        </w:rPr>
        <w:t>Note: There can be gaps due to LBT failures at the UE between the UL subframes in which transmissions occur</w:t>
      </w:r>
    </w:p>
    <w:p w14:paraId="2CD74854" w14:textId="77777777" w:rsidR="00232192" w:rsidRPr="00AB63BB" w:rsidRDefault="00232192" w:rsidP="00232192">
      <w:pPr>
        <w:pStyle w:val="BodyText"/>
        <w:numPr>
          <w:ilvl w:val="2"/>
          <w:numId w:val="14"/>
        </w:numPr>
        <w:overflowPunct/>
        <w:autoSpaceDE/>
        <w:autoSpaceDN/>
        <w:adjustRightInd/>
        <w:spacing w:after="0"/>
        <w:textAlignment w:val="auto"/>
        <w:rPr>
          <w:bCs/>
        </w:rPr>
      </w:pPr>
      <w:r w:rsidRPr="00AB63BB">
        <w:rPr>
          <w:bCs/>
        </w:rPr>
        <w:t>Note: There can be gaps for 1 or 2 symbols between the scheduled UL subframes within an MCOT</w:t>
      </w:r>
    </w:p>
    <w:p w14:paraId="59FE8E8A" w14:textId="77777777" w:rsidR="00232192" w:rsidRPr="00AB63BB" w:rsidRDefault="00232192" w:rsidP="00232192">
      <w:pPr>
        <w:pStyle w:val="BodyText"/>
        <w:numPr>
          <w:ilvl w:val="1"/>
          <w:numId w:val="14"/>
        </w:numPr>
        <w:overflowPunct/>
        <w:autoSpaceDE/>
        <w:autoSpaceDN/>
        <w:adjustRightInd/>
        <w:spacing w:after="0"/>
        <w:textAlignment w:val="auto"/>
        <w:rPr>
          <w:bCs/>
          <w:sz w:val="18"/>
        </w:rPr>
      </w:pPr>
      <w:r w:rsidRPr="00AB63BB">
        <w:rPr>
          <w:szCs w:val="22"/>
        </w:rPr>
        <w:t>The eNB should schedule such that the MCOT limits are met assuming that there is a UL transmission in every scheduled UL subframe.</w:t>
      </w:r>
    </w:p>
    <w:p w14:paraId="6EFE42AF" w14:textId="279D9526" w:rsidR="00232192" w:rsidRPr="00232192" w:rsidRDefault="00232192" w:rsidP="00232192">
      <w:pPr>
        <w:pStyle w:val="BodyText"/>
        <w:numPr>
          <w:ilvl w:val="0"/>
          <w:numId w:val="14"/>
        </w:numPr>
        <w:overflowPunct/>
        <w:autoSpaceDE/>
        <w:autoSpaceDN/>
        <w:adjustRightInd/>
        <w:spacing w:after="0"/>
        <w:textAlignment w:val="auto"/>
        <w:rPr>
          <w:bCs/>
        </w:rPr>
      </w:pPr>
      <w:r w:rsidRPr="00AB63BB">
        <w:rPr>
          <w:bCs/>
        </w:rPr>
        <w:t xml:space="preserve">FFS multiple transitions between DL and UL, and the associated detailed </w:t>
      </w:r>
      <w:proofErr w:type="spellStart"/>
      <w:r w:rsidRPr="00AB63BB">
        <w:rPr>
          <w:bCs/>
        </w:rPr>
        <w:t>behavior</w:t>
      </w:r>
      <w:proofErr w:type="spellEnd"/>
      <w:r w:rsidRPr="00AB63BB">
        <w:rPr>
          <w:bCs/>
        </w:rPr>
        <w:t xml:space="preserve"> (e.g. allowed gaps and how gaps are counted towards MCOT)</w:t>
      </w:r>
    </w:p>
    <w:p w14:paraId="2B5121CC" w14:textId="77777777" w:rsidR="00232192" w:rsidRDefault="00232192" w:rsidP="00232192">
      <w:pPr>
        <w:ind w:right="9"/>
        <w:rPr>
          <w:rFonts w:cs="Arial"/>
          <w:b/>
          <w:bCs/>
        </w:rPr>
      </w:pPr>
    </w:p>
    <w:p w14:paraId="096008BA" w14:textId="77777777" w:rsidR="00232192" w:rsidRPr="002A7445" w:rsidRDefault="00232192" w:rsidP="00232192">
      <w:pPr>
        <w:ind w:right="9"/>
        <w:rPr>
          <w:rFonts w:cs="Arial"/>
          <w:b/>
          <w:bCs/>
        </w:rPr>
      </w:pPr>
      <w:r w:rsidRPr="002A7445">
        <w:rPr>
          <w:rFonts w:cs="Arial"/>
          <w:b/>
          <w:bCs/>
        </w:rPr>
        <w:t>Proposal:</w:t>
      </w:r>
    </w:p>
    <w:p w14:paraId="44D8D0E4" w14:textId="77777777" w:rsidR="00232192" w:rsidRDefault="00232192" w:rsidP="00232192">
      <w:pPr>
        <w:pStyle w:val="ListParagraph"/>
        <w:numPr>
          <w:ilvl w:val="0"/>
          <w:numId w:val="16"/>
        </w:numPr>
        <w:spacing w:after="0"/>
        <w:rPr>
          <w:rFonts w:ascii="Arial" w:hAnsi="Arial" w:cs="Arial"/>
          <w:sz w:val="20"/>
          <w:szCs w:val="20"/>
        </w:rPr>
      </w:pPr>
      <w:r w:rsidRPr="002A7445">
        <w:rPr>
          <w:rFonts w:ascii="Arial" w:hAnsi="Arial" w:cs="Arial"/>
          <w:sz w:val="20"/>
          <w:szCs w:val="20"/>
        </w:rPr>
        <w:t>There is no restriction at the UE on the content of PUSCH within a UL transmission based on the LBT parameters used by the eNB for channel</w:t>
      </w:r>
      <w:r>
        <w:rPr>
          <w:rFonts w:ascii="Arial" w:hAnsi="Arial" w:cs="Arial"/>
          <w:sz w:val="20"/>
          <w:szCs w:val="20"/>
        </w:rPr>
        <w:t xml:space="preserve"> access for that transmission.</w:t>
      </w:r>
    </w:p>
    <w:p w14:paraId="16AD1735" w14:textId="34A79815" w:rsidR="00232192" w:rsidRDefault="00232192" w:rsidP="00232192">
      <w:pPr>
        <w:pStyle w:val="ListParagraph"/>
        <w:numPr>
          <w:ilvl w:val="1"/>
          <w:numId w:val="16"/>
        </w:numPr>
        <w:spacing w:after="0"/>
        <w:rPr>
          <w:rFonts w:ascii="Arial" w:hAnsi="Arial" w:cs="Arial"/>
          <w:sz w:val="20"/>
          <w:szCs w:val="20"/>
        </w:rPr>
      </w:pPr>
      <w:r w:rsidRPr="00232192">
        <w:rPr>
          <w:rFonts w:ascii="Arial" w:hAnsi="Arial" w:cs="Arial"/>
          <w:sz w:val="20"/>
          <w:szCs w:val="20"/>
        </w:rPr>
        <w:t xml:space="preserve">The eNB is responsible to allocate resources for PUSCH transmissions based on the received buffer status and choose the LBT priority class accordingly as the current </w:t>
      </w:r>
      <w:r>
        <w:rPr>
          <w:rFonts w:ascii="Arial" w:hAnsi="Arial" w:cs="Arial"/>
          <w:sz w:val="20"/>
          <w:szCs w:val="20"/>
        </w:rPr>
        <w:t>behavior.</w:t>
      </w:r>
    </w:p>
    <w:p w14:paraId="1C823DFD" w14:textId="77777777" w:rsidR="00232192" w:rsidRPr="00232192" w:rsidRDefault="00232192" w:rsidP="00232192">
      <w:pPr>
        <w:pStyle w:val="ListParagraph"/>
        <w:spacing w:after="0"/>
        <w:ind w:left="1080"/>
        <w:rPr>
          <w:rFonts w:ascii="Arial" w:hAnsi="Arial" w:cs="Arial"/>
          <w:sz w:val="20"/>
          <w:szCs w:val="20"/>
        </w:rPr>
      </w:pPr>
    </w:p>
    <w:p w14:paraId="012659B0" w14:textId="77777777" w:rsidR="00232192" w:rsidRDefault="00232192" w:rsidP="00232192">
      <w:pPr>
        <w:rPr>
          <w:b/>
        </w:rPr>
      </w:pPr>
      <w:r>
        <w:rPr>
          <w:b/>
        </w:rPr>
        <w:t>Proposals:</w:t>
      </w:r>
    </w:p>
    <w:p w14:paraId="374B6CC3" w14:textId="77777777" w:rsidR="00232192" w:rsidRPr="00D71619" w:rsidRDefault="00232192" w:rsidP="00232192">
      <w:pPr>
        <w:pStyle w:val="ListParagraph"/>
        <w:numPr>
          <w:ilvl w:val="0"/>
          <w:numId w:val="24"/>
        </w:numPr>
        <w:spacing w:after="0"/>
        <w:rPr>
          <w:rFonts w:ascii="Arial" w:hAnsi="Arial" w:cs="Arial"/>
          <w:sz w:val="20"/>
          <w:szCs w:val="20"/>
        </w:rPr>
      </w:pPr>
      <w:r w:rsidRPr="00D71619">
        <w:rPr>
          <w:rFonts w:ascii="Arial" w:hAnsi="Arial" w:cs="Arial"/>
          <w:sz w:val="20"/>
          <w:szCs w:val="20"/>
          <w:lang w:eastAsia="x-none"/>
        </w:rPr>
        <w:t>Rel-14 supports four LBT priority classes for UL transmissions.</w:t>
      </w:r>
      <w:r w:rsidRPr="00D71619">
        <w:rPr>
          <w:rFonts w:ascii="Arial" w:hAnsi="Arial" w:cs="Arial"/>
          <w:sz w:val="20"/>
          <w:szCs w:val="20"/>
        </w:rPr>
        <w:t xml:space="preserve"> </w:t>
      </w:r>
    </w:p>
    <w:p w14:paraId="639834AE" w14:textId="77777777" w:rsidR="00232192" w:rsidRPr="00D71619" w:rsidRDefault="00232192" w:rsidP="00232192">
      <w:pPr>
        <w:numPr>
          <w:ilvl w:val="0"/>
          <w:numId w:val="24"/>
        </w:numPr>
        <w:overflowPunct/>
        <w:autoSpaceDE/>
        <w:autoSpaceDN/>
        <w:adjustRightInd/>
        <w:spacing w:after="0"/>
        <w:jc w:val="left"/>
        <w:textAlignment w:val="auto"/>
        <w:rPr>
          <w:rFonts w:cs="Arial"/>
          <w:lang w:val="en-US"/>
        </w:rPr>
      </w:pPr>
      <w:r w:rsidRPr="00D71619">
        <w:rPr>
          <w:rFonts w:cs="Arial"/>
        </w:rPr>
        <w:t xml:space="preserve">For the LBT priority classes 1 to 4, </w:t>
      </w:r>
      <w:proofErr w:type="spellStart"/>
      <w:r w:rsidRPr="00D71619">
        <w:rPr>
          <w:rFonts w:cs="Arial"/>
        </w:rPr>
        <w:t>eLAA</w:t>
      </w:r>
      <w:proofErr w:type="spellEnd"/>
      <w:r w:rsidRPr="00D71619">
        <w:rPr>
          <w:rFonts w:cs="Arial"/>
        </w:rPr>
        <w:t xml:space="preserve"> supports the LBT parameter values shown in the table below.</w:t>
      </w:r>
    </w:p>
    <w:p w14:paraId="6129D339" w14:textId="77777777" w:rsidR="00232192" w:rsidRPr="00D71619" w:rsidRDefault="00232192" w:rsidP="00232192">
      <w:pPr>
        <w:pStyle w:val="ListParagraph"/>
        <w:numPr>
          <w:ilvl w:val="1"/>
          <w:numId w:val="24"/>
        </w:numPr>
        <w:overflowPunct w:val="0"/>
        <w:autoSpaceDE w:val="0"/>
        <w:autoSpaceDN w:val="0"/>
        <w:adjustRightInd w:val="0"/>
        <w:spacing w:after="180" w:line="240" w:lineRule="auto"/>
        <w:textAlignment w:val="baseline"/>
        <w:rPr>
          <w:rFonts w:ascii="Arial" w:eastAsia="MS Mincho" w:hAnsi="Arial" w:cs="Arial"/>
          <w:iCs/>
          <w:sz w:val="20"/>
          <w:szCs w:val="20"/>
        </w:rPr>
      </w:pPr>
      <w:r w:rsidRPr="00D71619">
        <w:rPr>
          <w:rFonts w:ascii="Arial" w:eastAsia="MS Mincho" w:hAnsi="Arial" w:cs="Arial"/>
          <w:iCs/>
          <w:sz w:val="20"/>
          <w:szCs w:val="20"/>
        </w:rPr>
        <w:t xml:space="preserve">Note: In the table below </w:t>
      </w:r>
      <w:proofErr w:type="spellStart"/>
      <w:r w:rsidRPr="00D71619">
        <w:rPr>
          <w:rFonts w:ascii="Arial" w:eastAsia="MS Mincho" w:hAnsi="Arial" w:cs="Arial"/>
          <w:iCs/>
          <w:sz w:val="20"/>
          <w:szCs w:val="20"/>
        </w:rPr>
        <w:t>CWmin</w:t>
      </w:r>
      <w:proofErr w:type="spellEnd"/>
      <w:r w:rsidRPr="00D71619">
        <w:rPr>
          <w:rFonts w:ascii="Arial" w:eastAsia="MS Mincho" w:hAnsi="Arial" w:cs="Arial"/>
          <w:iCs/>
          <w:sz w:val="20"/>
          <w:szCs w:val="20"/>
        </w:rPr>
        <w:t xml:space="preserve">, </w:t>
      </w:r>
      <w:proofErr w:type="spellStart"/>
      <w:r w:rsidRPr="00D71619">
        <w:rPr>
          <w:rFonts w:ascii="Arial" w:eastAsia="MS Mincho" w:hAnsi="Arial" w:cs="Arial"/>
          <w:iCs/>
          <w:sz w:val="20"/>
          <w:szCs w:val="20"/>
        </w:rPr>
        <w:t>CWmax</w:t>
      </w:r>
      <w:proofErr w:type="spellEnd"/>
      <w:r w:rsidRPr="00D71619">
        <w:rPr>
          <w:rFonts w:ascii="Arial" w:eastAsia="MS Mincho" w:hAnsi="Arial" w:cs="Arial"/>
          <w:iCs/>
          <w:sz w:val="20"/>
          <w:szCs w:val="20"/>
        </w:rPr>
        <w:t xml:space="preserve">, n and MCOT refer to the minimum contention window size, the maximum contention window size, the number of consecutive CCA slots in the defer period and the maximum channel occupancy time, respectively. </w:t>
      </w:r>
    </w:p>
    <w:tbl>
      <w:tblPr>
        <w:tblW w:w="0" w:type="auto"/>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540"/>
        <w:gridCol w:w="1080"/>
        <w:gridCol w:w="1170"/>
        <w:gridCol w:w="1875"/>
        <w:gridCol w:w="2895"/>
      </w:tblGrid>
      <w:tr w:rsidR="00232192" w:rsidRPr="00C12953" w14:paraId="5627ED3E" w14:textId="77777777" w:rsidTr="004E4F18">
        <w:trPr>
          <w:trHeight w:val="554"/>
          <w:jc w:val="center"/>
        </w:trPr>
        <w:tc>
          <w:tcPr>
            <w:tcW w:w="1192" w:type="dxa"/>
            <w:shd w:val="clear" w:color="auto" w:fill="E0E0E0"/>
            <w:vAlign w:val="center"/>
          </w:tcPr>
          <w:p w14:paraId="1C990DA6" w14:textId="77777777" w:rsidR="00232192" w:rsidRPr="00C12953" w:rsidRDefault="00232192" w:rsidP="004E4F18">
            <w:pPr>
              <w:pStyle w:val="TAH"/>
            </w:pPr>
            <w:r>
              <w:lastRenderedPageBreak/>
              <w:t>LBT priority class</w:t>
            </w:r>
          </w:p>
        </w:tc>
        <w:tc>
          <w:tcPr>
            <w:tcW w:w="540" w:type="dxa"/>
            <w:shd w:val="clear" w:color="auto" w:fill="E0E0E0"/>
            <w:vAlign w:val="center"/>
          </w:tcPr>
          <w:p w14:paraId="36AD47E9" w14:textId="77777777" w:rsidR="00232192" w:rsidRPr="00C12953" w:rsidRDefault="00232192" w:rsidP="004E4F18">
            <w:pPr>
              <w:pStyle w:val="TAH"/>
            </w:pPr>
            <w:r>
              <w:t>n</w:t>
            </w:r>
          </w:p>
        </w:tc>
        <w:tc>
          <w:tcPr>
            <w:tcW w:w="1080" w:type="dxa"/>
            <w:shd w:val="clear" w:color="auto" w:fill="E0E0E0"/>
            <w:vAlign w:val="center"/>
          </w:tcPr>
          <w:p w14:paraId="30AC8EBC" w14:textId="77777777" w:rsidR="00232192" w:rsidRPr="00C12953" w:rsidRDefault="00232192" w:rsidP="004E4F18">
            <w:pPr>
              <w:pStyle w:val="TAH"/>
            </w:pPr>
            <w:proofErr w:type="spellStart"/>
            <w:r>
              <w:t>CWmin</w:t>
            </w:r>
            <w:proofErr w:type="spellEnd"/>
          </w:p>
        </w:tc>
        <w:tc>
          <w:tcPr>
            <w:tcW w:w="1170" w:type="dxa"/>
            <w:shd w:val="clear" w:color="auto" w:fill="E0E0E0"/>
            <w:vAlign w:val="center"/>
          </w:tcPr>
          <w:p w14:paraId="66EC9B03" w14:textId="77777777" w:rsidR="00232192" w:rsidRPr="00C12953" w:rsidRDefault="00232192" w:rsidP="004E4F18">
            <w:pPr>
              <w:pStyle w:val="TAH"/>
            </w:pPr>
            <w:proofErr w:type="spellStart"/>
            <w:r>
              <w:t>CWmax</w:t>
            </w:r>
            <w:proofErr w:type="spellEnd"/>
          </w:p>
        </w:tc>
        <w:tc>
          <w:tcPr>
            <w:tcW w:w="1875" w:type="dxa"/>
            <w:shd w:val="clear" w:color="auto" w:fill="E0E0E0"/>
            <w:vAlign w:val="center"/>
          </w:tcPr>
          <w:p w14:paraId="1E039E54" w14:textId="77777777" w:rsidR="00232192" w:rsidRPr="004F689F" w:rsidRDefault="00232192" w:rsidP="004E4F18">
            <w:pPr>
              <w:pStyle w:val="TAH"/>
            </w:pPr>
            <w:r>
              <w:t>MCOT</w:t>
            </w:r>
          </w:p>
        </w:tc>
        <w:tc>
          <w:tcPr>
            <w:tcW w:w="2895" w:type="dxa"/>
            <w:shd w:val="clear" w:color="auto" w:fill="E0E0E0"/>
            <w:vAlign w:val="center"/>
          </w:tcPr>
          <w:p w14:paraId="0BDDC6FF" w14:textId="77777777" w:rsidR="00232192" w:rsidRDefault="00232192" w:rsidP="004E4F18">
            <w:pPr>
              <w:pStyle w:val="TAH"/>
            </w:pPr>
            <w:r>
              <w:t>Set of CW sizes</w:t>
            </w:r>
          </w:p>
        </w:tc>
      </w:tr>
      <w:tr w:rsidR="00232192" w:rsidRPr="00C12953" w14:paraId="19AA571A" w14:textId="77777777" w:rsidTr="004E4F18">
        <w:trPr>
          <w:trHeight w:val="376"/>
          <w:jc w:val="center"/>
        </w:trPr>
        <w:tc>
          <w:tcPr>
            <w:tcW w:w="1192" w:type="dxa"/>
            <w:shd w:val="clear" w:color="auto" w:fill="auto"/>
            <w:vAlign w:val="center"/>
          </w:tcPr>
          <w:p w14:paraId="54C53DBC" w14:textId="77777777" w:rsidR="00232192" w:rsidRPr="00C12953" w:rsidRDefault="00232192" w:rsidP="004E4F18">
            <w:pPr>
              <w:pStyle w:val="TAC"/>
            </w:pPr>
            <w:r>
              <w:t>1</w:t>
            </w:r>
          </w:p>
        </w:tc>
        <w:tc>
          <w:tcPr>
            <w:tcW w:w="540" w:type="dxa"/>
            <w:shd w:val="clear" w:color="auto" w:fill="auto"/>
            <w:vAlign w:val="center"/>
          </w:tcPr>
          <w:p w14:paraId="2DDE49D0" w14:textId="77777777" w:rsidR="00232192" w:rsidRPr="00C12953" w:rsidRDefault="00232192" w:rsidP="004E4F18">
            <w:pPr>
              <w:pStyle w:val="TAC"/>
            </w:pPr>
            <w:r>
              <w:t>2</w:t>
            </w:r>
          </w:p>
        </w:tc>
        <w:tc>
          <w:tcPr>
            <w:tcW w:w="1080" w:type="dxa"/>
            <w:vAlign w:val="center"/>
          </w:tcPr>
          <w:p w14:paraId="43C27559" w14:textId="77777777" w:rsidR="00232192" w:rsidRDefault="00232192" w:rsidP="004E4F18">
            <w:pPr>
              <w:pStyle w:val="TAC"/>
            </w:pPr>
            <w:r>
              <w:t>3</w:t>
            </w:r>
          </w:p>
        </w:tc>
        <w:tc>
          <w:tcPr>
            <w:tcW w:w="1170" w:type="dxa"/>
            <w:vAlign w:val="center"/>
          </w:tcPr>
          <w:p w14:paraId="161CA76F" w14:textId="77777777" w:rsidR="00232192" w:rsidRDefault="00232192" w:rsidP="004E4F18">
            <w:pPr>
              <w:pStyle w:val="TAC"/>
            </w:pPr>
            <w:r>
              <w:t>7</w:t>
            </w:r>
          </w:p>
        </w:tc>
        <w:tc>
          <w:tcPr>
            <w:tcW w:w="1875" w:type="dxa"/>
            <w:vAlign w:val="center"/>
          </w:tcPr>
          <w:p w14:paraId="64500777" w14:textId="77777777" w:rsidR="00232192" w:rsidRDefault="00232192" w:rsidP="004E4F18">
            <w:pPr>
              <w:pStyle w:val="TAC"/>
            </w:pPr>
            <w:r>
              <w:t xml:space="preserve">2 </w:t>
            </w:r>
            <w:proofErr w:type="spellStart"/>
            <w:r>
              <w:t>ms</w:t>
            </w:r>
            <w:proofErr w:type="spellEnd"/>
          </w:p>
        </w:tc>
        <w:tc>
          <w:tcPr>
            <w:tcW w:w="2895" w:type="dxa"/>
            <w:vAlign w:val="center"/>
          </w:tcPr>
          <w:p w14:paraId="6D3B5EA2" w14:textId="77777777" w:rsidR="00232192" w:rsidRDefault="00232192" w:rsidP="004E4F18">
            <w:pPr>
              <w:pStyle w:val="TAC"/>
            </w:pPr>
            <w:r>
              <w:t>{3,7}</w:t>
            </w:r>
          </w:p>
        </w:tc>
      </w:tr>
      <w:tr w:rsidR="00232192" w:rsidRPr="00C12953" w14:paraId="68A18715" w14:textId="77777777" w:rsidTr="004E4F18">
        <w:trPr>
          <w:trHeight w:val="376"/>
          <w:jc w:val="center"/>
        </w:trPr>
        <w:tc>
          <w:tcPr>
            <w:tcW w:w="1192" w:type="dxa"/>
            <w:shd w:val="clear" w:color="auto" w:fill="auto"/>
            <w:vAlign w:val="center"/>
          </w:tcPr>
          <w:p w14:paraId="36DC49A7" w14:textId="77777777" w:rsidR="00232192" w:rsidRDefault="00232192" w:rsidP="004E4F18">
            <w:pPr>
              <w:pStyle w:val="TAC"/>
            </w:pPr>
            <w:r>
              <w:t>2</w:t>
            </w:r>
          </w:p>
        </w:tc>
        <w:tc>
          <w:tcPr>
            <w:tcW w:w="540" w:type="dxa"/>
            <w:shd w:val="clear" w:color="auto" w:fill="auto"/>
            <w:vAlign w:val="center"/>
          </w:tcPr>
          <w:p w14:paraId="3C0250E7" w14:textId="77777777" w:rsidR="00232192" w:rsidRDefault="00232192" w:rsidP="004E4F18">
            <w:pPr>
              <w:pStyle w:val="TAC"/>
            </w:pPr>
            <w:r>
              <w:t>2</w:t>
            </w:r>
          </w:p>
        </w:tc>
        <w:tc>
          <w:tcPr>
            <w:tcW w:w="1080" w:type="dxa"/>
            <w:vAlign w:val="center"/>
          </w:tcPr>
          <w:p w14:paraId="3FE68177" w14:textId="77777777" w:rsidR="00232192" w:rsidRDefault="00232192" w:rsidP="004E4F18">
            <w:pPr>
              <w:pStyle w:val="TAC"/>
            </w:pPr>
            <w:r>
              <w:t>7</w:t>
            </w:r>
          </w:p>
        </w:tc>
        <w:tc>
          <w:tcPr>
            <w:tcW w:w="1170" w:type="dxa"/>
            <w:vAlign w:val="center"/>
          </w:tcPr>
          <w:p w14:paraId="09017A04" w14:textId="77777777" w:rsidR="00232192" w:rsidRDefault="00232192" w:rsidP="004E4F18">
            <w:pPr>
              <w:pStyle w:val="TAC"/>
            </w:pPr>
            <w:r>
              <w:t>15</w:t>
            </w:r>
          </w:p>
        </w:tc>
        <w:tc>
          <w:tcPr>
            <w:tcW w:w="1875" w:type="dxa"/>
            <w:vAlign w:val="center"/>
          </w:tcPr>
          <w:p w14:paraId="18B29F62" w14:textId="77777777" w:rsidR="00232192" w:rsidRDefault="00232192" w:rsidP="004E4F18">
            <w:pPr>
              <w:pStyle w:val="TAC"/>
            </w:pPr>
            <w:r>
              <w:t xml:space="preserve">4 </w:t>
            </w:r>
            <w:proofErr w:type="spellStart"/>
            <w:r>
              <w:t>ms</w:t>
            </w:r>
            <w:proofErr w:type="spellEnd"/>
          </w:p>
        </w:tc>
        <w:tc>
          <w:tcPr>
            <w:tcW w:w="2895" w:type="dxa"/>
            <w:vAlign w:val="center"/>
          </w:tcPr>
          <w:p w14:paraId="1799215C" w14:textId="77777777" w:rsidR="00232192" w:rsidRDefault="00232192" w:rsidP="004E4F18">
            <w:pPr>
              <w:pStyle w:val="TAC"/>
            </w:pPr>
            <w:r>
              <w:t>{7,15}</w:t>
            </w:r>
          </w:p>
        </w:tc>
      </w:tr>
      <w:tr w:rsidR="00232192" w:rsidRPr="00C12953" w14:paraId="279409BE" w14:textId="77777777" w:rsidTr="004E4F18">
        <w:trPr>
          <w:trHeight w:val="376"/>
          <w:jc w:val="center"/>
        </w:trPr>
        <w:tc>
          <w:tcPr>
            <w:tcW w:w="1192" w:type="dxa"/>
            <w:shd w:val="clear" w:color="auto" w:fill="auto"/>
            <w:vAlign w:val="center"/>
          </w:tcPr>
          <w:p w14:paraId="17C82778" w14:textId="77777777" w:rsidR="00232192" w:rsidRDefault="00232192" w:rsidP="004E4F18">
            <w:pPr>
              <w:pStyle w:val="TAC"/>
            </w:pPr>
            <w:r>
              <w:t>3</w:t>
            </w:r>
          </w:p>
        </w:tc>
        <w:tc>
          <w:tcPr>
            <w:tcW w:w="540" w:type="dxa"/>
            <w:shd w:val="clear" w:color="auto" w:fill="auto"/>
            <w:vAlign w:val="center"/>
          </w:tcPr>
          <w:p w14:paraId="749EDD37" w14:textId="77777777" w:rsidR="00232192" w:rsidRDefault="00232192" w:rsidP="004E4F18">
            <w:pPr>
              <w:pStyle w:val="TAC"/>
            </w:pPr>
            <w:r>
              <w:t>3</w:t>
            </w:r>
          </w:p>
        </w:tc>
        <w:tc>
          <w:tcPr>
            <w:tcW w:w="1080" w:type="dxa"/>
            <w:vAlign w:val="center"/>
          </w:tcPr>
          <w:p w14:paraId="0D9970C8" w14:textId="77777777" w:rsidR="00232192" w:rsidRDefault="00232192" w:rsidP="004E4F18">
            <w:pPr>
              <w:pStyle w:val="TAC"/>
            </w:pPr>
            <w:r>
              <w:t>15</w:t>
            </w:r>
          </w:p>
        </w:tc>
        <w:tc>
          <w:tcPr>
            <w:tcW w:w="1170" w:type="dxa"/>
            <w:vAlign w:val="center"/>
          </w:tcPr>
          <w:p w14:paraId="52886E6A" w14:textId="77777777" w:rsidR="00232192" w:rsidRDefault="00232192" w:rsidP="004E4F18">
            <w:pPr>
              <w:pStyle w:val="TAC"/>
            </w:pPr>
            <w:r>
              <w:t>1023</w:t>
            </w:r>
          </w:p>
        </w:tc>
        <w:tc>
          <w:tcPr>
            <w:tcW w:w="1875" w:type="dxa"/>
            <w:vAlign w:val="center"/>
          </w:tcPr>
          <w:p w14:paraId="5700B678" w14:textId="77777777" w:rsidR="00232192" w:rsidRDefault="00232192" w:rsidP="004E4F18">
            <w:pPr>
              <w:pStyle w:val="TAC"/>
            </w:pPr>
            <w:r>
              <w:t xml:space="preserve">6ms (see note 1) or 10 </w:t>
            </w:r>
            <w:proofErr w:type="spellStart"/>
            <w:r>
              <w:t>ms</w:t>
            </w:r>
            <w:proofErr w:type="spellEnd"/>
            <w:r>
              <w:t xml:space="preserve"> (see note 2)</w:t>
            </w:r>
          </w:p>
        </w:tc>
        <w:tc>
          <w:tcPr>
            <w:tcW w:w="2895" w:type="dxa"/>
            <w:vAlign w:val="center"/>
          </w:tcPr>
          <w:p w14:paraId="5164EAE4" w14:textId="77777777" w:rsidR="00232192" w:rsidRDefault="00232192" w:rsidP="004E4F18">
            <w:pPr>
              <w:pStyle w:val="TAC"/>
            </w:pPr>
            <w:r>
              <w:t>{15,31,63,127,255,511,1023}</w:t>
            </w:r>
          </w:p>
        </w:tc>
      </w:tr>
      <w:tr w:rsidR="00232192" w:rsidRPr="00C12953" w14:paraId="05263049" w14:textId="77777777" w:rsidTr="004E4F18">
        <w:trPr>
          <w:trHeight w:val="376"/>
          <w:jc w:val="center"/>
        </w:trPr>
        <w:tc>
          <w:tcPr>
            <w:tcW w:w="1192" w:type="dxa"/>
            <w:shd w:val="clear" w:color="auto" w:fill="auto"/>
            <w:vAlign w:val="center"/>
          </w:tcPr>
          <w:p w14:paraId="75467A7D" w14:textId="77777777" w:rsidR="00232192" w:rsidRDefault="00232192" w:rsidP="004E4F18">
            <w:pPr>
              <w:pStyle w:val="TAC"/>
            </w:pPr>
            <w:r>
              <w:t>4</w:t>
            </w:r>
          </w:p>
        </w:tc>
        <w:tc>
          <w:tcPr>
            <w:tcW w:w="540" w:type="dxa"/>
            <w:shd w:val="clear" w:color="auto" w:fill="auto"/>
            <w:vAlign w:val="center"/>
          </w:tcPr>
          <w:p w14:paraId="2BD5FDA7" w14:textId="77777777" w:rsidR="00232192" w:rsidRDefault="00232192" w:rsidP="004E4F18">
            <w:pPr>
              <w:pStyle w:val="TAC"/>
            </w:pPr>
            <w:r>
              <w:t>7</w:t>
            </w:r>
          </w:p>
        </w:tc>
        <w:tc>
          <w:tcPr>
            <w:tcW w:w="1080" w:type="dxa"/>
            <w:vAlign w:val="center"/>
          </w:tcPr>
          <w:p w14:paraId="4B70CD41" w14:textId="77777777" w:rsidR="00232192" w:rsidRDefault="00232192" w:rsidP="004E4F18">
            <w:pPr>
              <w:pStyle w:val="TAC"/>
            </w:pPr>
            <w:r>
              <w:t>15</w:t>
            </w:r>
          </w:p>
        </w:tc>
        <w:tc>
          <w:tcPr>
            <w:tcW w:w="1170" w:type="dxa"/>
            <w:vAlign w:val="center"/>
          </w:tcPr>
          <w:p w14:paraId="417F0B6F" w14:textId="77777777" w:rsidR="00232192" w:rsidRDefault="00232192" w:rsidP="004E4F18">
            <w:pPr>
              <w:pStyle w:val="TAC"/>
            </w:pPr>
            <w:r>
              <w:t>1023</w:t>
            </w:r>
          </w:p>
        </w:tc>
        <w:tc>
          <w:tcPr>
            <w:tcW w:w="1875" w:type="dxa"/>
            <w:vAlign w:val="center"/>
          </w:tcPr>
          <w:p w14:paraId="41E66C7A" w14:textId="77777777" w:rsidR="00232192" w:rsidRDefault="00232192" w:rsidP="004E4F18">
            <w:pPr>
              <w:pStyle w:val="TAC"/>
              <w:jc w:val="both"/>
            </w:pPr>
            <w:r>
              <w:t xml:space="preserve">6ms (see note 1) or 10 </w:t>
            </w:r>
            <w:proofErr w:type="spellStart"/>
            <w:r>
              <w:t>ms</w:t>
            </w:r>
            <w:proofErr w:type="spellEnd"/>
            <w:r>
              <w:t xml:space="preserve"> (see note 2)</w:t>
            </w:r>
          </w:p>
        </w:tc>
        <w:tc>
          <w:tcPr>
            <w:tcW w:w="2895" w:type="dxa"/>
            <w:vAlign w:val="center"/>
          </w:tcPr>
          <w:p w14:paraId="3FDC6547" w14:textId="77777777" w:rsidR="00232192" w:rsidRDefault="00232192" w:rsidP="004E4F18">
            <w:pPr>
              <w:pStyle w:val="TAC"/>
            </w:pPr>
            <w:r>
              <w:t>{15,31,63,127,255,511,1023}</w:t>
            </w:r>
          </w:p>
        </w:tc>
      </w:tr>
      <w:tr w:rsidR="00232192" w:rsidRPr="00C12953" w14:paraId="1A8AE8AB" w14:textId="77777777" w:rsidTr="004E4F18">
        <w:trPr>
          <w:trHeight w:val="376"/>
          <w:jc w:val="center"/>
        </w:trPr>
        <w:tc>
          <w:tcPr>
            <w:tcW w:w="8752" w:type="dxa"/>
            <w:gridSpan w:val="6"/>
            <w:shd w:val="clear" w:color="auto" w:fill="auto"/>
            <w:vAlign w:val="center"/>
          </w:tcPr>
          <w:p w14:paraId="25170BAE" w14:textId="77777777" w:rsidR="00232192" w:rsidRDefault="00232192" w:rsidP="004E4F18">
            <w:pPr>
              <w:pStyle w:val="TAN"/>
              <w:rPr>
                <w:lang w:val="en-AU" w:eastAsia="en-AU"/>
              </w:rPr>
            </w:pPr>
            <w:r>
              <w:rPr>
                <w:lang w:val="en-AU" w:eastAsia="en-AU"/>
              </w:rPr>
              <w:t xml:space="preserve">NOTE 1: </w:t>
            </w:r>
            <w:r>
              <w:rPr>
                <w:lang w:val="en-AU" w:eastAsia="en-AU"/>
              </w:rPr>
              <w:tab/>
              <w:t xml:space="preserve">The MCOT </w:t>
            </w:r>
            <w:r w:rsidRPr="00E30963">
              <w:rPr>
                <w:lang w:val="en-AU" w:eastAsia="en-AU"/>
              </w:rPr>
              <w:t xml:space="preserve">of 6 </w:t>
            </w:r>
            <w:proofErr w:type="spellStart"/>
            <w:r w:rsidRPr="00E30963">
              <w:rPr>
                <w:lang w:val="en-AU" w:eastAsia="en-AU"/>
              </w:rPr>
              <w:t>ms</w:t>
            </w:r>
            <w:proofErr w:type="spellEnd"/>
            <w:r w:rsidRPr="00E30963">
              <w:rPr>
                <w:lang w:val="en-AU" w:eastAsia="en-AU"/>
              </w:rPr>
              <w:t xml:space="preserve"> may be increased to 8 </w:t>
            </w:r>
            <w:proofErr w:type="spellStart"/>
            <w:r w:rsidRPr="00E30963">
              <w:rPr>
                <w:lang w:val="en-AU" w:eastAsia="en-AU"/>
              </w:rPr>
              <w:t>ms</w:t>
            </w:r>
            <w:proofErr w:type="spellEnd"/>
            <w:r w:rsidRPr="00E30963">
              <w:rPr>
                <w:lang w:val="en-AU" w:eastAsia="en-AU"/>
              </w:rPr>
              <w:t xml:space="preserve"> by inserting one or more pauses. The minimum duration of a pause shall be 100 µs. The maximum </w:t>
            </w:r>
            <w:r>
              <w:rPr>
                <w:lang w:val="en-AU" w:eastAsia="en-AU"/>
              </w:rPr>
              <w:t xml:space="preserve">duration </w:t>
            </w:r>
            <w:r w:rsidRPr="00976DA1">
              <w:rPr>
                <w:lang w:val="en-AU" w:eastAsia="en-AU"/>
              </w:rPr>
              <w:t>(Channel Occupancy)</w:t>
            </w:r>
            <w:r>
              <w:rPr>
                <w:i/>
                <w:lang w:val="en-AU" w:eastAsia="en-AU"/>
              </w:rPr>
              <w:t xml:space="preserve"> </w:t>
            </w:r>
            <w:r>
              <w:rPr>
                <w:lang w:val="en-AU" w:eastAsia="en-AU"/>
              </w:rPr>
              <w:t xml:space="preserve">before including any such pause </w:t>
            </w:r>
            <w:r w:rsidRPr="00E30963">
              <w:rPr>
                <w:lang w:val="en-AU" w:eastAsia="en-AU"/>
              </w:rPr>
              <w:t xml:space="preserve">shall be 6 </w:t>
            </w:r>
            <w:proofErr w:type="spellStart"/>
            <w:r w:rsidRPr="00E30963">
              <w:rPr>
                <w:lang w:val="en-AU" w:eastAsia="en-AU"/>
              </w:rPr>
              <w:t>ms</w:t>
            </w:r>
            <w:proofErr w:type="spellEnd"/>
            <w:r w:rsidRPr="00E30963">
              <w:rPr>
                <w:lang w:val="en-AU" w:eastAsia="en-AU"/>
              </w:rPr>
              <w:t xml:space="preserve">. </w:t>
            </w:r>
            <w:r>
              <w:rPr>
                <w:lang w:val="en-AU" w:eastAsia="en-AU"/>
              </w:rPr>
              <w:t>The p</w:t>
            </w:r>
            <w:r w:rsidRPr="00E30963">
              <w:rPr>
                <w:lang w:val="en-AU" w:eastAsia="en-AU"/>
              </w:rPr>
              <w:t xml:space="preserve">ause </w:t>
            </w:r>
            <w:r>
              <w:rPr>
                <w:lang w:val="en-AU" w:eastAsia="en-AU"/>
              </w:rPr>
              <w:t xml:space="preserve">duration </w:t>
            </w:r>
            <w:r w:rsidRPr="00E30963">
              <w:rPr>
                <w:lang w:val="en-AU" w:eastAsia="en-AU"/>
              </w:rPr>
              <w:t>is not included in the channel occupancy time.</w:t>
            </w:r>
            <w:r>
              <w:rPr>
                <w:lang w:val="en-AU" w:eastAsia="en-AU"/>
              </w:rPr>
              <w:t xml:space="preserve"> </w:t>
            </w:r>
          </w:p>
          <w:p w14:paraId="0027DDAB" w14:textId="77777777" w:rsidR="00232192" w:rsidRDefault="00232192" w:rsidP="004E4F18">
            <w:pPr>
              <w:pStyle w:val="TAN"/>
              <w:rPr>
                <w:lang w:val="en-AU" w:eastAsia="en-AU"/>
              </w:rPr>
            </w:pPr>
          </w:p>
          <w:p w14:paraId="146F993A" w14:textId="77777777" w:rsidR="00232192" w:rsidRPr="00582F5F" w:rsidRDefault="00232192" w:rsidP="004E4F18">
            <w:pPr>
              <w:pStyle w:val="TAN"/>
              <w:rPr>
                <w:lang w:val="en-AU" w:eastAsia="en-AU"/>
              </w:rPr>
            </w:pPr>
            <w:r>
              <w:rPr>
                <w:lang w:val="en-AU" w:eastAsia="en-AU"/>
              </w:rPr>
              <w:t xml:space="preserve">NOTE 2: </w:t>
            </w:r>
            <w:r w:rsidRPr="00ED68F7">
              <w:rPr>
                <w:lang w:val="en-US"/>
              </w:rPr>
              <w:t xml:space="preserve">If the absence of any other technology sharing the carrier can be guaranteed on a long term basis (e.g. by level of regulation), the maximum </w:t>
            </w:r>
            <w:r w:rsidRPr="00C44641">
              <w:rPr>
                <w:rFonts w:eastAsia="MS Mincho" w:hint="eastAsia"/>
                <w:lang w:val="en-US" w:eastAsia="ja-JP"/>
              </w:rPr>
              <w:t>channel occupancy time for LB</w:t>
            </w:r>
            <w:r w:rsidRPr="00AA362F">
              <w:rPr>
                <w:rFonts w:eastAsia="MS Mincho" w:hint="eastAsia"/>
                <w:lang w:val="en-US" w:eastAsia="ja-JP"/>
              </w:rPr>
              <w:t xml:space="preserve">T priority </w:t>
            </w:r>
            <w:r w:rsidRPr="00AA362F">
              <w:rPr>
                <w:rFonts w:eastAsia="MS Mincho"/>
                <w:lang w:val="en-US" w:eastAsia="ja-JP"/>
              </w:rPr>
              <w:t>classes</w:t>
            </w:r>
            <w:r w:rsidRPr="00AA362F">
              <w:rPr>
                <w:rFonts w:eastAsia="MS Mincho" w:hint="eastAsia"/>
                <w:lang w:val="en-US" w:eastAsia="ja-JP"/>
              </w:rPr>
              <w:t xml:space="preserve"> </w:t>
            </w:r>
            <w:r>
              <w:rPr>
                <w:rFonts w:eastAsia="MS Mincho" w:hint="eastAsia"/>
                <w:lang w:val="en-US" w:eastAsia="ja-JP"/>
              </w:rPr>
              <w:t>3 and 4 is for 10</w:t>
            </w:r>
            <w:r w:rsidRPr="00AA362F">
              <w:rPr>
                <w:rFonts w:eastAsia="MS Mincho" w:hint="eastAsia"/>
                <w:lang w:val="en-US" w:eastAsia="ja-JP"/>
              </w:rPr>
              <w:t xml:space="preserve"> </w:t>
            </w:r>
            <w:proofErr w:type="spellStart"/>
            <w:r w:rsidRPr="00AA362F">
              <w:rPr>
                <w:rFonts w:eastAsia="MS Mincho" w:hint="eastAsia"/>
                <w:lang w:val="en-US" w:eastAsia="ja-JP"/>
              </w:rPr>
              <w:t>msec</w:t>
            </w:r>
            <w:proofErr w:type="spellEnd"/>
            <w:r>
              <w:rPr>
                <w:rFonts w:eastAsia="MS Mincho" w:hint="eastAsia"/>
                <w:lang w:val="en-US" w:eastAsia="ja-JP"/>
              </w:rPr>
              <w:t>, otherwise,</w:t>
            </w:r>
            <w:r w:rsidRPr="000C3412">
              <w:rPr>
                <w:rFonts w:eastAsia="MS Mincho" w:hint="eastAsia"/>
                <w:lang w:val="en-US" w:eastAsia="ja-JP"/>
              </w:rPr>
              <w:t xml:space="preserve"> </w:t>
            </w:r>
            <w:r>
              <w:rPr>
                <w:rFonts w:eastAsia="MS Mincho" w:hint="eastAsia"/>
                <w:lang w:val="en-US" w:eastAsia="ja-JP"/>
              </w:rPr>
              <w:t>m</w:t>
            </w:r>
            <w:r w:rsidRPr="00C44641">
              <w:rPr>
                <w:rFonts w:eastAsia="MS Mincho" w:hint="eastAsia"/>
                <w:lang w:val="en-US" w:eastAsia="ja-JP"/>
              </w:rPr>
              <w:t xml:space="preserve">aximum channel occupancy time for LBT priority </w:t>
            </w:r>
            <w:r w:rsidRPr="00C44641">
              <w:rPr>
                <w:rFonts w:eastAsia="MS Mincho"/>
                <w:lang w:val="en-US" w:eastAsia="ja-JP"/>
              </w:rPr>
              <w:t>classes</w:t>
            </w:r>
            <w:r>
              <w:rPr>
                <w:rFonts w:eastAsia="MS Mincho" w:hint="eastAsia"/>
                <w:lang w:val="en-US" w:eastAsia="ja-JP"/>
              </w:rPr>
              <w:t xml:space="preserve"> 3 and 4 is </w:t>
            </w:r>
            <w:r>
              <w:rPr>
                <w:rFonts w:eastAsia="MS Mincho"/>
                <w:lang w:val="en-US" w:eastAsia="ja-JP"/>
              </w:rPr>
              <w:t>6ms as in note 1.</w:t>
            </w:r>
          </w:p>
          <w:p w14:paraId="18561114" w14:textId="77777777" w:rsidR="00232192" w:rsidRPr="00582F5F" w:rsidRDefault="00232192" w:rsidP="004E4F18">
            <w:pPr>
              <w:pStyle w:val="TAN"/>
              <w:rPr>
                <w:lang w:val="en-US" w:eastAsia="en-AU"/>
              </w:rPr>
            </w:pPr>
          </w:p>
          <w:p w14:paraId="38D9E74B" w14:textId="77777777" w:rsidR="00232192" w:rsidRPr="007C7B6C" w:rsidRDefault="00232192" w:rsidP="004E4F18">
            <w:pPr>
              <w:pStyle w:val="TAC"/>
              <w:rPr>
                <w:lang w:val="en-AU"/>
              </w:rPr>
            </w:pPr>
          </w:p>
        </w:tc>
      </w:tr>
    </w:tbl>
    <w:p w14:paraId="4246212E" w14:textId="421F4E31" w:rsidR="00D71619" w:rsidRPr="00D71619" w:rsidRDefault="002058B3" w:rsidP="00D71619">
      <w:pPr>
        <w:pStyle w:val="IvDInstructiontext"/>
        <w:rPr>
          <w:rStyle w:val="IvDbodytextChar"/>
          <w:b/>
          <w:i w:val="0"/>
          <w:color w:val="auto"/>
          <w:sz w:val="20"/>
          <w:szCs w:val="20"/>
        </w:rPr>
      </w:pPr>
      <w:r>
        <w:rPr>
          <w:rStyle w:val="IvDbodytextChar"/>
          <w:b/>
          <w:i w:val="0"/>
          <w:color w:val="auto"/>
          <w:sz w:val="20"/>
          <w:szCs w:val="20"/>
        </w:rPr>
        <w:t>Proposal</w:t>
      </w:r>
      <w:r w:rsidR="00D71619" w:rsidRPr="00D71619">
        <w:rPr>
          <w:rStyle w:val="IvDbodytextChar"/>
          <w:b/>
          <w:i w:val="0"/>
          <w:color w:val="auto"/>
          <w:sz w:val="20"/>
          <w:szCs w:val="20"/>
        </w:rPr>
        <w:t>:</w:t>
      </w:r>
    </w:p>
    <w:p w14:paraId="6B388C58" w14:textId="77777777" w:rsidR="00BB2DC7" w:rsidRPr="00693AC9" w:rsidRDefault="00BB2DC7" w:rsidP="00BB2DC7">
      <w:pPr>
        <w:pStyle w:val="ListParagraph"/>
        <w:numPr>
          <w:ilvl w:val="0"/>
          <w:numId w:val="16"/>
        </w:numPr>
        <w:spacing w:before="100" w:beforeAutospacing="1" w:after="100" w:afterAutospacing="1"/>
        <w:rPr>
          <w:rStyle w:val="IvDbodytextChar"/>
          <w:rFonts w:cs="Arial"/>
          <w:spacing w:val="0"/>
          <w:sz w:val="20"/>
          <w:szCs w:val="20"/>
        </w:rPr>
      </w:pPr>
      <w:r>
        <w:rPr>
          <w:rStyle w:val="IvDbodytextChar"/>
          <w:sz w:val="20"/>
          <w:szCs w:val="20"/>
        </w:rPr>
        <w:t xml:space="preserve">The following procedure is used by the UE to increase or reset to the minimum value the contention window size for performing LBT prior to transmission of a UL burst for which the </w:t>
      </w:r>
      <w:proofErr w:type="spellStart"/>
      <w:r>
        <w:rPr>
          <w:rStyle w:val="IvDbodytextChar"/>
          <w:sz w:val="20"/>
          <w:szCs w:val="20"/>
        </w:rPr>
        <w:t>eNB</w:t>
      </w:r>
      <w:proofErr w:type="spellEnd"/>
      <w:r>
        <w:rPr>
          <w:rStyle w:val="IvDbodytextChar"/>
          <w:sz w:val="20"/>
          <w:szCs w:val="20"/>
        </w:rPr>
        <w:t xml:space="preserve"> has indicated that LBT using a category 4 random </w:t>
      </w:r>
      <w:proofErr w:type="spellStart"/>
      <w:r>
        <w:rPr>
          <w:rStyle w:val="IvDbodytextChar"/>
          <w:sz w:val="20"/>
          <w:szCs w:val="20"/>
        </w:rPr>
        <w:t>backoff</w:t>
      </w:r>
      <w:proofErr w:type="spellEnd"/>
      <w:r>
        <w:rPr>
          <w:rStyle w:val="IvDbodytextChar"/>
          <w:sz w:val="20"/>
          <w:szCs w:val="20"/>
        </w:rPr>
        <w:t xml:space="preserve"> procedure (where contention window sizes can be increased) must be performed</w:t>
      </w:r>
    </w:p>
    <w:p w14:paraId="736CF731" w14:textId="77777777" w:rsidR="00BB2DC7" w:rsidRDefault="00BB2DC7" w:rsidP="00BB2DC7">
      <w:pPr>
        <w:pStyle w:val="IvDInstructiontext"/>
        <w:numPr>
          <w:ilvl w:val="1"/>
          <w:numId w:val="16"/>
        </w:numPr>
        <w:rPr>
          <w:rStyle w:val="IvDbodytextChar"/>
          <w:i w:val="0"/>
          <w:color w:val="auto"/>
          <w:sz w:val="20"/>
          <w:szCs w:val="20"/>
        </w:rPr>
      </w:pPr>
      <w:r>
        <w:rPr>
          <w:rStyle w:val="IvDbodytextChar"/>
          <w:i w:val="0"/>
          <w:color w:val="auto"/>
          <w:sz w:val="20"/>
          <w:szCs w:val="20"/>
        </w:rPr>
        <w:t xml:space="preserve">The most recent scheduled burst of contiguous </w:t>
      </w:r>
      <w:proofErr w:type="spellStart"/>
      <w:r>
        <w:rPr>
          <w:rStyle w:val="IvDbodytextChar"/>
          <w:i w:val="0"/>
          <w:color w:val="auto"/>
          <w:sz w:val="20"/>
          <w:szCs w:val="20"/>
        </w:rPr>
        <w:t>subframes</w:t>
      </w:r>
      <w:proofErr w:type="spellEnd"/>
      <w:r>
        <w:rPr>
          <w:rStyle w:val="IvDbodytextChar"/>
          <w:i w:val="0"/>
          <w:color w:val="auto"/>
          <w:sz w:val="20"/>
          <w:szCs w:val="20"/>
        </w:rPr>
        <w:t xml:space="preserve"> (excluding the currently scheduled burst) for which the HARQ process number used in the first </w:t>
      </w:r>
      <w:proofErr w:type="spellStart"/>
      <w:r>
        <w:rPr>
          <w:rStyle w:val="IvDbodytextChar"/>
          <w:i w:val="0"/>
          <w:color w:val="auto"/>
          <w:sz w:val="20"/>
          <w:szCs w:val="20"/>
        </w:rPr>
        <w:t>subframe</w:t>
      </w:r>
      <w:proofErr w:type="spellEnd"/>
      <w:r>
        <w:rPr>
          <w:rStyle w:val="IvDbodytextChar"/>
          <w:i w:val="0"/>
          <w:color w:val="auto"/>
          <w:sz w:val="20"/>
          <w:szCs w:val="20"/>
        </w:rPr>
        <w:t xml:space="preserve"> of the burst also appears in the currently scheduled burst is used as the reference transmission burst by the UE. The HARQ process which satisfies the above condition is used as the reference HARQ process to determine the contention window size.</w:t>
      </w:r>
    </w:p>
    <w:p w14:paraId="3653F82E" w14:textId="77777777" w:rsidR="00BB2DC7" w:rsidRDefault="00BB2DC7" w:rsidP="00BB2DC7">
      <w:pPr>
        <w:pStyle w:val="IvDInstructiontext"/>
        <w:numPr>
          <w:ilvl w:val="1"/>
          <w:numId w:val="16"/>
        </w:numPr>
        <w:rPr>
          <w:rStyle w:val="IvDbodytextChar"/>
          <w:i w:val="0"/>
          <w:color w:val="auto"/>
          <w:sz w:val="20"/>
          <w:szCs w:val="20"/>
        </w:rPr>
      </w:pPr>
      <w:r>
        <w:rPr>
          <w:rStyle w:val="IvDbodytextChar"/>
          <w:i w:val="0"/>
          <w:color w:val="auto"/>
          <w:sz w:val="20"/>
          <w:szCs w:val="20"/>
        </w:rPr>
        <w:t>If the NDI bit for the reference HARQ process is set to 0 indicating that this is a retransmission, the contention window size is increased to the next higher value in the set of contention window sizes for the priority class that was used to perform LBT prior to transmission of the reference transmission burst.</w:t>
      </w:r>
    </w:p>
    <w:p w14:paraId="4E64CD68" w14:textId="77777777" w:rsidR="00BB2DC7" w:rsidRPr="00F54AD6" w:rsidRDefault="00BB2DC7" w:rsidP="00BB2DC7">
      <w:pPr>
        <w:pStyle w:val="IvDInstructiontext"/>
        <w:numPr>
          <w:ilvl w:val="1"/>
          <w:numId w:val="16"/>
        </w:numPr>
        <w:rPr>
          <w:i w:val="0"/>
          <w:color w:val="auto"/>
          <w:sz w:val="20"/>
          <w:szCs w:val="20"/>
        </w:rPr>
      </w:pPr>
      <w:r>
        <w:rPr>
          <w:rStyle w:val="IvDbodytextChar"/>
          <w:i w:val="0"/>
          <w:color w:val="auto"/>
          <w:sz w:val="20"/>
          <w:szCs w:val="20"/>
        </w:rPr>
        <w:t xml:space="preserve">Otherwise if the NDI bit for the reference HARQ process is set to 1 indicating that this grant is for the transmission of a new transport block, the contention window size is reset to the minimum value in the set of contention window sizes for the priority class that is being used by the UE to perform LBT prior to transmission of the current transmission burst. This priority class may either be chosen by the UE based on the traffic type it intends to transmit or may be indicated by the </w:t>
      </w:r>
      <w:proofErr w:type="spellStart"/>
      <w:r>
        <w:rPr>
          <w:rStyle w:val="IvDbodytextChar"/>
          <w:i w:val="0"/>
          <w:color w:val="auto"/>
          <w:sz w:val="20"/>
          <w:szCs w:val="20"/>
        </w:rPr>
        <w:t>eNB</w:t>
      </w:r>
      <w:proofErr w:type="spellEnd"/>
      <w:r>
        <w:rPr>
          <w:rStyle w:val="IvDbodytextChar"/>
          <w:i w:val="0"/>
          <w:color w:val="auto"/>
          <w:sz w:val="20"/>
          <w:szCs w:val="20"/>
        </w:rPr>
        <w:t xml:space="preserve"> in the UL grants for the current transmission burst.</w:t>
      </w:r>
    </w:p>
    <w:p w14:paraId="4FEBA345" w14:textId="77777777" w:rsidR="00D71619" w:rsidRPr="00D71619" w:rsidRDefault="00D71619" w:rsidP="00D71619">
      <w:pPr>
        <w:pStyle w:val="ListParagraph"/>
        <w:numPr>
          <w:ilvl w:val="0"/>
          <w:numId w:val="16"/>
        </w:numPr>
        <w:spacing w:before="100" w:beforeAutospacing="1" w:after="100" w:afterAutospacing="1"/>
        <w:rPr>
          <w:rFonts w:ascii="Arial" w:hAnsi="Arial" w:cs="Arial"/>
          <w:sz w:val="20"/>
          <w:szCs w:val="20"/>
        </w:rPr>
      </w:pPr>
      <w:bookmarkStart w:id="4" w:name="_GoBack"/>
      <w:bookmarkEnd w:id="4"/>
      <w:r w:rsidRPr="00D71619">
        <w:rPr>
          <w:rFonts w:ascii="Arial" w:eastAsia="MS Mincho" w:hAnsi="Arial" w:cs="Arial"/>
          <w:sz w:val="20"/>
          <w:szCs w:val="20"/>
          <w:lang w:eastAsia="ja-JP"/>
        </w:rPr>
        <w:t>The CW size is reset to the minimum value if the maximum CW size is used for K consecutive LBT attempts for transmission</w:t>
      </w:r>
    </w:p>
    <w:p w14:paraId="44712E5E" w14:textId="47BE9783" w:rsidR="008C55FE" w:rsidRPr="002058B3" w:rsidRDefault="00D71619" w:rsidP="008C55FE">
      <w:pPr>
        <w:pStyle w:val="ListParagraph"/>
        <w:numPr>
          <w:ilvl w:val="1"/>
          <w:numId w:val="16"/>
        </w:numPr>
        <w:spacing w:before="100" w:beforeAutospacing="1" w:after="100" w:afterAutospacing="1"/>
        <w:rPr>
          <w:rFonts w:ascii="Arial" w:hAnsi="Arial" w:cs="Arial"/>
          <w:sz w:val="20"/>
          <w:szCs w:val="20"/>
        </w:rPr>
      </w:pPr>
      <w:r w:rsidRPr="00D71619">
        <w:rPr>
          <w:rFonts w:ascii="Arial" w:eastAsia="MS Mincho" w:hAnsi="Arial" w:cs="Arial"/>
          <w:sz w:val="20"/>
          <w:szCs w:val="20"/>
          <w:lang w:eastAsia="ja-JP"/>
        </w:rPr>
        <w:t>K is selected by implementation from the set of values from (1, …</w:t>
      </w:r>
      <w:proofErr w:type="gramStart"/>
      <w:r w:rsidRPr="00D71619">
        <w:rPr>
          <w:rFonts w:ascii="Arial" w:eastAsia="MS Mincho" w:hAnsi="Arial" w:cs="Arial"/>
          <w:sz w:val="20"/>
          <w:szCs w:val="20"/>
          <w:lang w:eastAsia="ja-JP"/>
        </w:rPr>
        <w:t>,8</w:t>
      </w:r>
      <w:proofErr w:type="gramEnd"/>
      <w:r w:rsidRPr="00D71619">
        <w:rPr>
          <w:rFonts w:ascii="Arial" w:eastAsia="MS Mincho" w:hAnsi="Arial" w:cs="Arial"/>
          <w:sz w:val="20"/>
          <w:szCs w:val="20"/>
          <w:lang w:eastAsia="ja-JP"/>
        </w:rPr>
        <w:t>).</w:t>
      </w:r>
    </w:p>
    <w:p w14:paraId="31B541E1" w14:textId="409E46B9" w:rsidR="002F5CC2" w:rsidRDefault="002F5CC2" w:rsidP="008C55FE">
      <w:pPr>
        <w:rPr>
          <w:rFonts w:cs="Arial"/>
          <w:b/>
        </w:rPr>
      </w:pPr>
      <w:r w:rsidRPr="008C55FE">
        <w:rPr>
          <w:rFonts w:cs="Arial"/>
          <w:b/>
        </w:rPr>
        <w:t>Proposal:</w:t>
      </w:r>
    </w:p>
    <w:p w14:paraId="130BF7E8" w14:textId="41AC59D7" w:rsidR="00D71619" w:rsidRPr="00D71619" w:rsidRDefault="00D71619" w:rsidP="008C55FE">
      <w:pPr>
        <w:pStyle w:val="ListParagraph"/>
        <w:numPr>
          <w:ilvl w:val="0"/>
          <w:numId w:val="13"/>
        </w:numPr>
        <w:rPr>
          <w:rFonts w:ascii="Arial" w:hAnsi="Arial" w:cs="Arial"/>
          <w:sz w:val="20"/>
          <w:szCs w:val="20"/>
        </w:rPr>
      </w:pPr>
      <w:r>
        <w:rPr>
          <w:rFonts w:ascii="Arial" w:hAnsi="Arial" w:cs="Arial"/>
          <w:sz w:val="20"/>
          <w:szCs w:val="20"/>
          <w:lang w:val="en-GB"/>
        </w:rPr>
        <w:t>M</w:t>
      </w:r>
      <w:proofErr w:type="spellStart"/>
      <w:r>
        <w:rPr>
          <w:rFonts w:ascii="Arial" w:hAnsi="Arial" w:cs="Arial"/>
          <w:sz w:val="20"/>
          <w:szCs w:val="20"/>
        </w:rPr>
        <w:t>ulti</w:t>
      </w:r>
      <w:proofErr w:type="spellEnd"/>
      <w:r>
        <w:rPr>
          <w:rFonts w:ascii="Arial" w:hAnsi="Arial" w:cs="Arial"/>
          <w:sz w:val="20"/>
          <w:szCs w:val="20"/>
        </w:rPr>
        <w:t>-carrier</w:t>
      </w:r>
      <w:r w:rsidRPr="00B41F41">
        <w:rPr>
          <w:rFonts w:ascii="Arial" w:hAnsi="Arial" w:cs="Arial"/>
          <w:sz w:val="20"/>
          <w:szCs w:val="20"/>
        </w:rPr>
        <w:t xml:space="preserve"> LAA UL operation </w:t>
      </w:r>
      <w:r>
        <w:rPr>
          <w:rFonts w:ascii="Arial" w:hAnsi="Arial" w:cs="Arial"/>
          <w:sz w:val="20"/>
          <w:szCs w:val="20"/>
        </w:rPr>
        <w:t xml:space="preserve">is </w:t>
      </w:r>
      <w:r w:rsidRPr="00B41F41">
        <w:rPr>
          <w:rFonts w:ascii="Arial" w:hAnsi="Arial" w:cs="Arial"/>
          <w:sz w:val="20"/>
          <w:szCs w:val="20"/>
        </w:rPr>
        <w:t xml:space="preserve">based on </w:t>
      </w:r>
      <w:r>
        <w:rPr>
          <w:rFonts w:ascii="Arial" w:hAnsi="Arial" w:cs="Arial"/>
          <w:sz w:val="20"/>
          <w:szCs w:val="20"/>
        </w:rPr>
        <w:t>an extension of the single carrier operation on multiple channels.</w:t>
      </w:r>
    </w:p>
    <w:p w14:paraId="248C1FCF" w14:textId="77777777" w:rsidR="00D71619" w:rsidRPr="007429F7" w:rsidRDefault="00D71619" w:rsidP="00D71619">
      <w:pPr>
        <w:pStyle w:val="ListParagraph"/>
        <w:ind w:left="0"/>
        <w:jc w:val="both"/>
        <w:rPr>
          <w:rFonts w:ascii="Arial" w:hAnsi="Arial" w:cs="Arial"/>
          <w:b/>
          <w:sz w:val="20"/>
          <w:szCs w:val="20"/>
        </w:rPr>
      </w:pPr>
      <w:r w:rsidRPr="007429F7">
        <w:rPr>
          <w:rFonts w:ascii="Arial" w:hAnsi="Arial" w:cs="Arial"/>
          <w:b/>
          <w:sz w:val="20"/>
          <w:szCs w:val="20"/>
        </w:rPr>
        <w:t>Proposal:</w:t>
      </w:r>
    </w:p>
    <w:p w14:paraId="2EAD1228" w14:textId="77777777" w:rsidR="00D71619" w:rsidRPr="008A718A" w:rsidRDefault="00D71619" w:rsidP="00D71619">
      <w:pPr>
        <w:pStyle w:val="BodyText"/>
        <w:numPr>
          <w:ilvl w:val="0"/>
          <w:numId w:val="12"/>
        </w:numPr>
        <w:overflowPunct/>
        <w:autoSpaceDE/>
        <w:autoSpaceDN/>
        <w:adjustRightInd/>
        <w:textAlignment w:val="auto"/>
        <w:rPr>
          <w:rFonts w:eastAsia="Calibri" w:cs="Arial"/>
          <w:lang w:val="en-US" w:eastAsia="en-US"/>
        </w:rPr>
      </w:pPr>
      <w:r>
        <w:rPr>
          <w:rFonts w:eastAsia="Calibri" w:cs="Arial"/>
          <w:lang w:val="en-US" w:eastAsia="en-US"/>
        </w:rPr>
        <w:t>Ali</w:t>
      </w:r>
      <w:r w:rsidRPr="007429F7">
        <w:rPr>
          <w:rFonts w:eastAsia="Calibri" w:cs="Arial"/>
          <w:lang w:val="en-US" w:eastAsia="en-US"/>
        </w:rPr>
        <w:t>gn the requirement on the energy detection threshold for PUSCH transmission with the corresponding Rel-13 LAA requirements for PDSCH transmission.</w:t>
      </w:r>
    </w:p>
    <w:p w14:paraId="4417843B" w14:textId="77777777" w:rsidR="00BF00F5" w:rsidRPr="003557FB" w:rsidRDefault="00BF00F5" w:rsidP="008441D0">
      <w:pPr>
        <w:pStyle w:val="Proposal"/>
        <w:numPr>
          <w:ilvl w:val="0"/>
          <w:numId w:val="0"/>
        </w:numPr>
        <w:ind w:left="720"/>
        <w:rPr>
          <w:b w:val="0"/>
          <w:lang w:val="en-US"/>
        </w:rPr>
      </w:pPr>
    </w:p>
    <w:p w14:paraId="07D1DD64" w14:textId="41C7621D" w:rsidR="006B165C" w:rsidRPr="006B165C" w:rsidRDefault="00D00AE7" w:rsidP="006B165C">
      <w:pPr>
        <w:pStyle w:val="Heading1"/>
        <w:rPr>
          <w:lang w:val="en-US"/>
        </w:rPr>
      </w:pPr>
      <w:r w:rsidRPr="00A742FA">
        <w:rPr>
          <w:lang w:val="en-US"/>
        </w:rPr>
        <w:lastRenderedPageBreak/>
        <w:t>Reference</w:t>
      </w:r>
      <w:r>
        <w:rPr>
          <w:lang w:val="en-US"/>
        </w:rPr>
        <w:t>s</w:t>
      </w:r>
    </w:p>
    <w:p w14:paraId="19270266" w14:textId="7FF04135" w:rsidR="006B165C" w:rsidRDefault="006B165C" w:rsidP="00D00AE7">
      <w:pPr>
        <w:pStyle w:val="Reference"/>
        <w:keepNext/>
        <w:keepLines/>
        <w:rPr>
          <w:lang w:val="en-US"/>
        </w:rPr>
      </w:pPr>
      <w:bookmarkStart w:id="5" w:name="_Ref442291765"/>
      <w:bookmarkStart w:id="6" w:name="_Ref441152226"/>
      <w:r>
        <w:rPr>
          <w:lang w:val="en-US"/>
        </w:rPr>
        <w:t>RP-152272</w:t>
      </w:r>
      <w:r w:rsidR="00321F37">
        <w:rPr>
          <w:lang w:val="en-US"/>
        </w:rPr>
        <w:t>,</w:t>
      </w:r>
      <w:r>
        <w:rPr>
          <w:lang w:val="en-US"/>
        </w:rPr>
        <w:tab/>
        <w:t>New Wo</w:t>
      </w:r>
      <w:r w:rsidR="00756DA6">
        <w:rPr>
          <w:lang w:val="en-US"/>
        </w:rPr>
        <w:t>rk Item on enhanced LAA for LTE,</w:t>
      </w:r>
      <w:r>
        <w:rPr>
          <w:lang w:val="en-US"/>
        </w:rPr>
        <w:t xml:space="preserve"> Ericsson, Huawei</w:t>
      </w:r>
      <w:bookmarkEnd w:id="5"/>
    </w:p>
    <w:p w14:paraId="4C77864B" w14:textId="79153006" w:rsidR="00457FE5" w:rsidRDefault="00457FE5" w:rsidP="00D00AE7">
      <w:pPr>
        <w:pStyle w:val="Reference"/>
        <w:keepNext/>
        <w:keepLines/>
        <w:rPr>
          <w:lang w:val="en-US"/>
        </w:rPr>
      </w:pPr>
      <w:bookmarkStart w:id="7" w:name="_Ref447194698"/>
      <w:bookmarkStart w:id="8" w:name="_Ref450900109"/>
      <w:r>
        <w:rPr>
          <w:lang w:val="en-US"/>
        </w:rPr>
        <w:t>Chairman’s notes, 3GPP RAN1#84</w:t>
      </w:r>
      <w:bookmarkEnd w:id="7"/>
      <w:r w:rsidR="00A93A60">
        <w:rPr>
          <w:lang w:val="en-US"/>
        </w:rPr>
        <w:t>bis</w:t>
      </w:r>
      <w:bookmarkEnd w:id="8"/>
    </w:p>
    <w:p w14:paraId="38ECB4CC" w14:textId="27169A4F" w:rsidR="00A93A60" w:rsidRDefault="00A93A60" w:rsidP="00D00AE7">
      <w:pPr>
        <w:pStyle w:val="Reference"/>
        <w:keepNext/>
        <w:keepLines/>
        <w:rPr>
          <w:lang w:val="en-US"/>
        </w:rPr>
      </w:pPr>
      <w:bookmarkStart w:id="9" w:name="_Ref450900555"/>
      <w:r>
        <w:rPr>
          <w:lang w:val="en-US"/>
        </w:rPr>
        <w:t>R1-165158, On Performance of UL Channel Access Procedures; Ericsson</w:t>
      </w:r>
      <w:bookmarkEnd w:id="9"/>
    </w:p>
    <w:p w14:paraId="6BE0C502" w14:textId="4CAED5F8" w:rsidR="00A93A60" w:rsidRDefault="00A93A60" w:rsidP="00D00AE7">
      <w:pPr>
        <w:pStyle w:val="Reference"/>
        <w:keepNext/>
        <w:keepLines/>
        <w:rPr>
          <w:lang w:val="en-US"/>
        </w:rPr>
      </w:pPr>
      <w:bookmarkStart w:id="10" w:name="_Ref450900565"/>
      <w:r>
        <w:rPr>
          <w:lang w:val="en-US"/>
        </w:rPr>
        <w:t>R1-165159, On Signaling of UL Channel Access Procedures; Ericsson</w:t>
      </w:r>
      <w:bookmarkEnd w:id="10"/>
    </w:p>
    <w:p w14:paraId="292A7FB3" w14:textId="4B5DB611" w:rsidR="00A93A60" w:rsidRDefault="00A93A60" w:rsidP="00D00AE7">
      <w:pPr>
        <w:pStyle w:val="Reference"/>
        <w:keepNext/>
        <w:keepLines/>
        <w:rPr>
          <w:lang w:val="en-US"/>
        </w:rPr>
      </w:pPr>
      <w:bookmarkStart w:id="11" w:name="_Ref450900567"/>
      <w:r>
        <w:rPr>
          <w:lang w:val="en-US"/>
        </w:rPr>
        <w:t>R1-165155, On Channel Access Procedures for Transmissions with Only Uplink Grants; Ericsson</w:t>
      </w:r>
      <w:bookmarkEnd w:id="11"/>
    </w:p>
    <w:p w14:paraId="5E71B5F1" w14:textId="5FA154C7" w:rsidR="00A93A60" w:rsidRDefault="00A93A60" w:rsidP="00D00AE7">
      <w:pPr>
        <w:pStyle w:val="Reference"/>
        <w:keepNext/>
        <w:keepLines/>
        <w:rPr>
          <w:lang w:val="en-US"/>
        </w:rPr>
      </w:pPr>
      <w:bookmarkStart w:id="12" w:name="_Ref450900568"/>
      <w:r>
        <w:rPr>
          <w:lang w:val="en-US"/>
        </w:rPr>
        <w:t>R1-165156, On Support of Conditional UL Transmissions without LBT; Ericsson</w:t>
      </w:r>
      <w:bookmarkEnd w:id="12"/>
    </w:p>
    <w:p w14:paraId="585F7FCA" w14:textId="57BCFB0F" w:rsidR="00AF3715" w:rsidRPr="002A083D" w:rsidRDefault="00AF3715" w:rsidP="00AF3715">
      <w:pPr>
        <w:pStyle w:val="Reference"/>
        <w:keepNext/>
        <w:keepLines/>
        <w:rPr>
          <w:lang w:val="en-US"/>
        </w:rPr>
      </w:pPr>
      <w:bookmarkStart w:id="13" w:name="_Ref447194991"/>
      <w:bookmarkStart w:id="14" w:name="_Ref442345665"/>
      <w:bookmarkStart w:id="15" w:name="_Ref447181229"/>
      <w:bookmarkStart w:id="16" w:name="_Ref446624612"/>
      <w:r>
        <w:t>ETSI EN 301 893, Harmonized European Standard, “Broadband Radio Access Networks (BRAN); 5 GHz high performance RLAN”</w:t>
      </w:r>
      <w:bookmarkEnd w:id="13"/>
    </w:p>
    <w:p w14:paraId="24DA2131" w14:textId="77777777" w:rsidR="002A083D" w:rsidRDefault="002A083D" w:rsidP="002A083D">
      <w:pPr>
        <w:pStyle w:val="Reference"/>
        <w:rPr>
          <w:lang w:eastAsia="ja-JP"/>
        </w:rPr>
      </w:pPr>
      <w:bookmarkStart w:id="17" w:name="_Ref450776034"/>
      <w:r>
        <w:rPr>
          <w:lang w:eastAsia="ja-JP"/>
        </w:rPr>
        <w:t>R1-163150, On Channel Access Procedures for Enhanced LAA; Ericsson</w:t>
      </w:r>
      <w:bookmarkEnd w:id="17"/>
    </w:p>
    <w:p w14:paraId="3A59DF59" w14:textId="2FF91EF1" w:rsidR="002A083D" w:rsidRDefault="002A083D" w:rsidP="002A083D">
      <w:pPr>
        <w:pStyle w:val="Reference"/>
        <w:rPr>
          <w:lang w:eastAsia="ja-JP"/>
        </w:rPr>
      </w:pPr>
      <w:bookmarkStart w:id="18" w:name="_Ref450776036"/>
      <w:r>
        <w:rPr>
          <w:lang w:eastAsia="ja-JP"/>
        </w:rPr>
        <w:t xml:space="preserve">R1-163810, WF on UL Channel Access Schemes; </w:t>
      </w:r>
      <w:r w:rsidRPr="005730A6">
        <w:rPr>
          <w:lang w:eastAsia="ja-JP"/>
        </w:rPr>
        <w:t>Ericsson</w:t>
      </w:r>
      <w:bookmarkEnd w:id="18"/>
    </w:p>
    <w:p w14:paraId="462F1AF9" w14:textId="2D89F48E" w:rsidR="002A083D" w:rsidRPr="002A083D" w:rsidRDefault="002A083D" w:rsidP="002A083D">
      <w:pPr>
        <w:pStyle w:val="Reference"/>
        <w:rPr>
          <w:lang w:eastAsia="ja-JP"/>
        </w:rPr>
      </w:pPr>
      <w:bookmarkStart w:id="19" w:name="_Ref450901015"/>
      <w:r>
        <w:rPr>
          <w:rFonts w:cs="Arial"/>
          <w:bCs/>
        </w:rPr>
        <w:t xml:space="preserve">R2-163146, LS on RAN2 agreements on </w:t>
      </w:r>
      <w:proofErr w:type="spellStart"/>
      <w:r>
        <w:rPr>
          <w:rFonts w:cs="Arial"/>
          <w:bCs/>
        </w:rPr>
        <w:t>eLAA</w:t>
      </w:r>
      <w:bookmarkEnd w:id="19"/>
      <w:proofErr w:type="spellEnd"/>
      <w:r>
        <w:rPr>
          <w:rFonts w:cs="Arial"/>
          <w:bCs/>
        </w:rPr>
        <w:t>; RAN2</w:t>
      </w:r>
    </w:p>
    <w:bookmarkEnd w:id="14"/>
    <w:bookmarkEnd w:id="15"/>
    <w:bookmarkEnd w:id="16"/>
    <w:p w14:paraId="74803267" w14:textId="77777777" w:rsidR="00AF1CEC" w:rsidRPr="004404DD" w:rsidRDefault="00AF1CEC" w:rsidP="007B2CC0">
      <w:pPr>
        <w:pStyle w:val="Reference"/>
        <w:keepNext/>
        <w:keepLines/>
        <w:numPr>
          <w:ilvl w:val="0"/>
          <w:numId w:val="0"/>
        </w:numPr>
        <w:ind w:left="567"/>
        <w:rPr>
          <w:highlight w:val="yellow"/>
          <w:lang w:val="en-US"/>
        </w:rPr>
      </w:pPr>
    </w:p>
    <w:bookmarkEnd w:id="6"/>
    <w:p w14:paraId="63C18C41" w14:textId="621D2335" w:rsidR="007116BD" w:rsidRPr="007116BD" w:rsidRDefault="007116BD" w:rsidP="007116BD"/>
    <w:sectPr w:rsidR="007116BD" w:rsidRPr="007116B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6E08F" w14:textId="77777777" w:rsidR="00DF7392" w:rsidRDefault="00DF7392">
      <w:r>
        <w:separator/>
      </w:r>
    </w:p>
  </w:endnote>
  <w:endnote w:type="continuationSeparator" w:id="0">
    <w:p w14:paraId="247BBCD4" w14:textId="77777777" w:rsidR="00DF7392" w:rsidRDefault="00DF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353B0B" w:rsidRDefault="00353B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B4C3B">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4C3B">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371AF" w14:textId="77777777" w:rsidR="00DF7392" w:rsidRDefault="00DF7392">
      <w:r>
        <w:separator/>
      </w:r>
    </w:p>
  </w:footnote>
  <w:footnote w:type="continuationSeparator" w:id="0">
    <w:p w14:paraId="565C25B2" w14:textId="77777777" w:rsidR="00DF7392" w:rsidRDefault="00DF7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353B0B" w:rsidRDefault="00353B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47D8"/>
    <w:multiLevelType w:val="multilevel"/>
    <w:tmpl w:val="C56EC41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8530607"/>
    <w:multiLevelType w:val="hybridMultilevel"/>
    <w:tmpl w:val="CD1AF2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87B105C"/>
    <w:multiLevelType w:val="hybridMultilevel"/>
    <w:tmpl w:val="A2E48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EB864DF"/>
    <w:multiLevelType w:val="hybridMultilevel"/>
    <w:tmpl w:val="9304A9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F593FA5"/>
    <w:multiLevelType w:val="hybridMultilevel"/>
    <w:tmpl w:val="AD482154"/>
    <w:lvl w:ilvl="0" w:tplc="D984422A">
      <w:start w:val="1"/>
      <w:numFmt w:val="bullet"/>
      <w:lvlText w:val="•"/>
      <w:lvlJc w:val="left"/>
      <w:pPr>
        <w:tabs>
          <w:tab w:val="num" w:pos="720"/>
        </w:tabs>
        <w:ind w:left="720" w:hanging="360"/>
      </w:pPr>
      <w:rPr>
        <w:rFonts w:ascii="Arial" w:hAnsi="Arial" w:hint="default"/>
      </w:rPr>
    </w:lvl>
    <w:lvl w:ilvl="1" w:tplc="BBA2D096">
      <w:start w:val="4438"/>
      <w:numFmt w:val="bullet"/>
      <w:lvlText w:val="–"/>
      <w:lvlJc w:val="left"/>
      <w:pPr>
        <w:tabs>
          <w:tab w:val="num" w:pos="1440"/>
        </w:tabs>
        <w:ind w:left="1440" w:hanging="360"/>
      </w:pPr>
      <w:rPr>
        <w:rFonts w:ascii="Arial" w:hAnsi="Arial" w:hint="default"/>
      </w:rPr>
    </w:lvl>
    <w:lvl w:ilvl="2" w:tplc="A70C04B8">
      <w:start w:val="4438"/>
      <w:numFmt w:val="bullet"/>
      <w:lvlText w:val="•"/>
      <w:lvlJc w:val="left"/>
      <w:pPr>
        <w:tabs>
          <w:tab w:val="num" w:pos="2160"/>
        </w:tabs>
        <w:ind w:left="2160" w:hanging="360"/>
      </w:pPr>
      <w:rPr>
        <w:rFonts w:ascii="Arial" w:hAnsi="Arial" w:hint="default"/>
      </w:rPr>
    </w:lvl>
    <w:lvl w:ilvl="3" w:tplc="5F4202AA" w:tentative="1">
      <w:start w:val="1"/>
      <w:numFmt w:val="bullet"/>
      <w:lvlText w:val="•"/>
      <w:lvlJc w:val="left"/>
      <w:pPr>
        <w:tabs>
          <w:tab w:val="num" w:pos="2880"/>
        </w:tabs>
        <w:ind w:left="2880" w:hanging="360"/>
      </w:pPr>
      <w:rPr>
        <w:rFonts w:ascii="Arial" w:hAnsi="Arial" w:hint="default"/>
      </w:rPr>
    </w:lvl>
    <w:lvl w:ilvl="4" w:tplc="B70CB504" w:tentative="1">
      <w:start w:val="1"/>
      <w:numFmt w:val="bullet"/>
      <w:lvlText w:val="•"/>
      <w:lvlJc w:val="left"/>
      <w:pPr>
        <w:tabs>
          <w:tab w:val="num" w:pos="3600"/>
        </w:tabs>
        <w:ind w:left="3600" w:hanging="360"/>
      </w:pPr>
      <w:rPr>
        <w:rFonts w:ascii="Arial" w:hAnsi="Arial" w:hint="default"/>
      </w:rPr>
    </w:lvl>
    <w:lvl w:ilvl="5" w:tplc="E91A4F76" w:tentative="1">
      <w:start w:val="1"/>
      <w:numFmt w:val="bullet"/>
      <w:lvlText w:val="•"/>
      <w:lvlJc w:val="left"/>
      <w:pPr>
        <w:tabs>
          <w:tab w:val="num" w:pos="4320"/>
        </w:tabs>
        <w:ind w:left="4320" w:hanging="360"/>
      </w:pPr>
      <w:rPr>
        <w:rFonts w:ascii="Arial" w:hAnsi="Arial" w:hint="default"/>
      </w:rPr>
    </w:lvl>
    <w:lvl w:ilvl="6" w:tplc="F5520790" w:tentative="1">
      <w:start w:val="1"/>
      <w:numFmt w:val="bullet"/>
      <w:lvlText w:val="•"/>
      <w:lvlJc w:val="left"/>
      <w:pPr>
        <w:tabs>
          <w:tab w:val="num" w:pos="5040"/>
        </w:tabs>
        <w:ind w:left="5040" w:hanging="360"/>
      </w:pPr>
      <w:rPr>
        <w:rFonts w:ascii="Arial" w:hAnsi="Arial" w:hint="default"/>
      </w:rPr>
    </w:lvl>
    <w:lvl w:ilvl="7" w:tplc="88721D94" w:tentative="1">
      <w:start w:val="1"/>
      <w:numFmt w:val="bullet"/>
      <w:lvlText w:val="•"/>
      <w:lvlJc w:val="left"/>
      <w:pPr>
        <w:tabs>
          <w:tab w:val="num" w:pos="5760"/>
        </w:tabs>
        <w:ind w:left="5760" w:hanging="360"/>
      </w:pPr>
      <w:rPr>
        <w:rFonts w:ascii="Arial" w:hAnsi="Arial" w:hint="default"/>
      </w:rPr>
    </w:lvl>
    <w:lvl w:ilvl="8" w:tplc="285CB0BA" w:tentative="1">
      <w:start w:val="1"/>
      <w:numFmt w:val="bullet"/>
      <w:lvlText w:val="•"/>
      <w:lvlJc w:val="left"/>
      <w:pPr>
        <w:tabs>
          <w:tab w:val="num" w:pos="6480"/>
        </w:tabs>
        <w:ind w:left="6480" w:hanging="360"/>
      </w:pPr>
      <w:rPr>
        <w:rFonts w:ascii="Arial" w:hAnsi="Arial" w:hint="default"/>
      </w:rPr>
    </w:lvl>
  </w:abstractNum>
  <w:abstractNum w:abstractNumId="6">
    <w:nsid w:val="25393BC0"/>
    <w:multiLevelType w:val="multilevel"/>
    <w:tmpl w:val="E1F62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2E2B642C"/>
    <w:multiLevelType w:val="hybridMultilevel"/>
    <w:tmpl w:val="6ED4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332124"/>
    <w:multiLevelType w:val="hybridMultilevel"/>
    <w:tmpl w:val="3AC87264"/>
    <w:lvl w:ilvl="0" w:tplc="D60ABC1E">
      <w:start w:val="1"/>
      <w:numFmt w:val="bullet"/>
      <w:lvlText w:val="•"/>
      <w:lvlJc w:val="left"/>
      <w:pPr>
        <w:tabs>
          <w:tab w:val="num" w:pos="720"/>
        </w:tabs>
        <w:ind w:left="720" w:hanging="360"/>
      </w:pPr>
      <w:rPr>
        <w:rFonts w:ascii="Arial" w:hAnsi="Arial" w:hint="default"/>
      </w:rPr>
    </w:lvl>
    <w:lvl w:ilvl="1" w:tplc="73B0C1A0">
      <w:start w:val="1"/>
      <w:numFmt w:val="bullet"/>
      <w:lvlText w:val="•"/>
      <w:lvlJc w:val="left"/>
      <w:pPr>
        <w:tabs>
          <w:tab w:val="num" w:pos="1440"/>
        </w:tabs>
        <w:ind w:left="1440" w:hanging="360"/>
      </w:pPr>
      <w:rPr>
        <w:rFonts w:ascii="Arial" w:hAnsi="Arial" w:hint="default"/>
      </w:rPr>
    </w:lvl>
    <w:lvl w:ilvl="2" w:tplc="BF70C00E" w:tentative="1">
      <w:start w:val="1"/>
      <w:numFmt w:val="bullet"/>
      <w:lvlText w:val="•"/>
      <w:lvlJc w:val="left"/>
      <w:pPr>
        <w:tabs>
          <w:tab w:val="num" w:pos="2160"/>
        </w:tabs>
        <w:ind w:left="2160" w:hanging="360"/>
      </w:pPr>
      <w:rPr>
        <w:rFonts w:ascii="Arial" w:hAnsi="Arial" w:hint="default"/>
      </w:rPr>
    </w:lvl>
    <w:lvl w:ilvl="3" w:tplc="8F0C4256" w:tentative="1">
      <w:start w:val="1"/>
      <w:numFmt w:val="bullet"/>
      <w:lvlText w:val="•"/>
      <w:lvlJc w:val="left"/>
      <w:pPr>
        <w:tabs>
          <w:tab w:val="num" w:pos="2880"/>
        </w:tabs>
        <w:ind w:left="2880" w:hanging="360"/>
      </w:pPr>
      <w:rPr>
        <w:rFonts w:ascii="Arial" w:hAnsi="Arial" w:hint="default"/>
      </w:rPr>
    </w:lvl>
    <w:lvl w:ilvl="4" w:tplc="3940C2E0" w:tentative="1">
      <w:start w:val="1"/>
      <w:numFmt w:val="bullet"/>
      <w:lvlText w:val="•"/>
      <w:lvlJc w:val="left"/>
      <w:pPr>
        <w:tabs>
          <w:tab w:val="num" w:pos="3600"/>
        </w:tabs>
        <w:ind w:left="3600" w:hanging="360"/>
      </w:pPr>
      <w:rPr>
        <w:rFonts w:ascii="Arial" w:hAnsi="Arial" w:hint="default"/>
      </w:rPr>
    </w:lvl>
    <w:lvl w:ilvl="5" w:tplc="BEAC6FFE" w:tentative="1">
      <w:start w:val="1"/>
      <w:numFmt w:val="bullet"/>
      <w:lvlText w:val="•"/>
      <w:lvlJc w:val="left"/>
      <w:pPr>
        <w:tabs>
          <w:tab w:val="num" w:pos="4320"/>
        </w:tabs>
        <w:ind w:left="4320" w:hanging="360"/>
      </w:pPr>
      <w:rPr>
        <w:rFonts w:ascii="Arial" w:hAnsi="Arial" w:hint="default"/>
      </w:rPr>
    </w:lvl>
    <w:lvl w:ilvl="6" w:tplc="D8CA77A6" w:tentative="1">
      <w:start w:val="1"/>
      <w:numFmt w:val="bullet"/>
      <w:lvlText w:val="•"/>
      <w:lvlJc w:val="left"/>
      <w:pPr>
        <w:tabs>
          <w:tab w:val="num" w:pos="5040"/>
        </w:tabs>
        <w:ind w:left="5040" w:hanging="360"/>
      </w:pPr>
      <w:rPr>
        <w:rFonts w:ascii="Arial" w:hAnsi="Arial" w:hint="default"/>
      </w:rPr>
    </w:lvl>
    <w:lvl w:ilvl="7" w:tplc="B034394C" w:tentative="1">
      <w:start w:val="1"/>
      <w:numFmt w:val="bullet"/>
      <w:lvlText w:val="•"/>
      <w:lvlJc w:val="left"/>
      <w:pPr>
        <w:tabs>
          <w:tab w:val="num" w:pos="5760"/>
        </w:tabs>
        <w:ind w:left="5760" w:hanging="360"/>
      </w:pPr>
      <w:rPr>
        <w:rFonts w:ascii="Arial" w:hAnsi="Arial" w:hint="default"/>
      </w:rPr>
    </w:lvl>
    <w:lvl w:ilvl="8" w:tplc="9C20E054" w:tentative="1">
      <w:start w:val="1"/>
      <w:numFmt w:val="bullet"/>
      <w:lvlText w:val="•"/>
      <w:lvlJc w:val="left"/>
      <w:pPr>
        <w:tabs>
          <w:tab w:val="num" w:pos="6480"/>
        </w:tabs>
        <w:ind w:left="6480" w:hanging="360"/>
      </w:pPr>
      <w:rPr>
        <w:rFonts w:ascii="Arial" w:hAnsi="Arial"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72B24BC"/>
    <w:multiLevelType w:val="hybridMultilevel"/>
    <w:tmpl w:val="78282C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59E1047"/>
    <w:multiLevelType w:val="hybridMultilevel"/>
    <w:tmpl w:val="3D14B1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ECF112E"/>
    <w:multiLevelType w:val="hybridMultilevel"/>
    <w:tmpl w:val="A440A7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672F2B"/>
    <w:multiLevelType w:val="hybridMultilevel"/>
    <w:tmpl w:val="8F38F856"/>
    <w:lvl w:ilvl="0" w:tplc="F7982772">
      <w:numFmt w:val="bullet"/>
      <w:lvlText w:val="•"/>
      <w:lvlJc w:val="left"/>
      <w:pPr>
        <w:ind w:left="360" w:hanging="360"/>
      </w:pPr>
      <w:rPr>
        <w:rFonts w:ascii="Arial" w:eastAsia="Calibri" w:hAnsi="Arial" w:cs="Arial" w:hint="default"/>
        <w:color w:val="1F497D"/>
        <w:sz w:val="22"/>
      </w:rPr>
    </w:lvl>
    <w:lvl w:ilvl="1" w:tplc="4C8AE264">
      <w:numFmt w:val="bullet"/>
      <w:lvlText w:val="–"/>
      <w:lvlJc w:val="left"/>
      <w:pPr>
        <w:ind w:left="1080" w:hanging="360"/>
      </w:pPr>
      <w:rPr>
        <w:rFonts w:ascii="Arial" w:eastAsia="Calibri" w:hAnsi="Arial" w:cs="Arial" w:hint="default"/>
        <w:color w:val="1F497D"/>
        <w:sz w:val="22"/>
      </w:rPr>
    </w:lvl>
    <w:lvl w:ilvl="2" w:tplc="041D0005">
      <w:start w:val="1"/>
      <w:numFmt w:val="bullet"/>
      <w:lvlText w:val=""/>
      <w:lvlJc w:val="left"/>
      <w:pPr>
        <w:ind w:left="1800" w:hanging="360"/>
      </w:pPr>
      <w:rPr>
        <w:rFonts w:ascii="Wingdings" w:hAnsi="Wingdings" w:hint="default"/>
      </w:rPr>
    </w:lvl>
    <w:lvl w:ilvl="3" w:tplc="98660290">
      <w:numFmt w:val="bullet"/>
      <w:lvlText w:val=""/>
      <w:lvlJc w:val="left"/>
      <w:pPr>
        <w:ind w:left="2520" w:hanging="360"/>
      </w:pPr>
      <w:rPr>
        <w:rFonts w:ascii="Symbol" w:eastAsia="Calibri" w:hAnsi="Symbol" w:cs="Courier New" w:hint="default"/>
        <w:color w:val="FF0000"/>
        <w:sz w:val="22"/>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nsid w:val="5C96264A"/>
    <w:multiLevelType w:val="hybridMultilevel"/>
    <w:tmpl w:val="E16A2D60"/>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707F49"/>
    <w:multiLevelType w:val="hybridMultilevel"/>
    <w:tmpl w:val="B5680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26">
    <w:nsid w:val="7FDE2F28"/>
    <w:multiLevelType w:val="hybridMultilevel"/>
    <w:tmpl w:val="D77E93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4"/>
  </w:num>
  <w:num w:numId="4">
    <w:abstractNumId w:val="9"/>
  </w:num>
  <w:num w:numId="5">
    <w:abstractNumId w:val="15"/>
  </w:num>
  <w:num w:numId="6">
    <w:abstractNumId w:val="21"/>
  </w:num>
  <w:num w:numId="7">
    <w:abstractNumId w:val="11"/>
  </w:num>
  <w:num w:numId="8">
    <w:abstractNumId w:val="19"/>
  </w:num>
  <w:num w:numId="9">
    <w:abstractNumId w:val="20"/>
  </w:num>
  <w:num w:numId="10">
    <w:abstractNumId w:val="13"/>
  </w:num>
  <w:num w:numId="11">
    <w:abstractNumId w:val="3"/>
  </w:num>
  <w:num w:numId="12">
    <w:abstractNumId w:val="4"/>
  </w:num>
  <w:num w:numId="13">
    <w:abstractNumId w:val="8"/>
  </w:num>
  <w:num w:numId="14">
    <w:abstractNumId w:val="22"/>
  </w:num>
  <w:num w:numId="15">
    <w:abstractNumId w:val="2"/>
  </w:num>
  <w:num w:numId="16">
    <w:abstractNumId w:val="12"/>
  </w:num>
  <w:num w:numId="17">
    <w:abstractNumId w:val="7"/>
  </w:num>
  <w:num w:numId="1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0"/>
  </w:num>
  <w:num w:numId="21">
    <w:abstractNumId w:val="18"/>
  </w:num>
  <w:num w:numId="22">
    <w:abstractNumId w:val="23"/>
  </w:num>
  <w:num w:numId="23">
    <w:abstractNumId w:val="5"/>
  </w:num>
  <w:num w:numId="24">
    <w:abstractNumId w:val="10"/>
  </w:num>
  <w:num w:numId="25">
    <w:abstractNumId w:val="16"/>
  </w:num>
  <w:num w:numId="26">
    <w:abstractNumId w:val="25"/>
  </w:num>
  <w:num w:numId="27">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595F"/>
    <w:rsid w:val="00006446"/>
    <w:rsid w:val="00006896"/>
    <w:rsid w:val="00007CDC"/>
    <w:rsid w:val="00011444"/>
    <w:rsid w:val="00011B28"/>
    <w:rsid w:val="00012CA8"/>
    <w:rsid w:val="00013799"/>
    <w:rsid w:val="0001411E"/>
    <w:rsid w:val="00015D15"/>
    <w:rsid w:val="0002181C"/>
    <w:rsid w:val="00023678"/>
    <w:rsid w:val="0002564D"/>
    <w:rsid w:val="000259B2"/>
    <w:rsid w:val="00025ECA"/>
    <w:rsid w:val="000325B8"/>
    <w:rsid w:val="00034C15"/>
    <w:rsid w:val="000364B8"/>
    <w:rsid w:val="00036BA1"/>
    <w:rsid w:val="00037B23"/>
    <w:rsid w:val="00040F47"/>
    <w:rsid w:val="000422E2"/>
    <w:rsid w:val="00042F22"/>
    <w:rsid w:val="0004395C"/>
    <w:rsid w:val="000444EF"/>
    <w:rsid w:val="0004506F"/>
    <w:rsid w:val="00047B0B"/>
    <w:rsid w:val="00047EE9"/>
    <w:rsid w:val="0005024D"/>
    <w:rsid w:val="00052A07"/>
    <w:rsid w:val="000534E3"/>
    <w:rsid w:val="0005606A"/>
    <w:rsid w:val="00057117"/>
    <w:rsid w:val="000609B7"/>
    <w:rsid w:val="000616E7"/>
    <w:rsid w:val="0006487E"/>
    <w:rsid w:val="00065790"/>
    <w:rsid w:val="00065E1A"/>
    <w:rsid w:val="00066F18"/>
    <w:rsid w:val="00070FBD"/>
    <w:rsid w:val="00073183"/>
    <w:rsid w:val="00073940"/>
    <w:rsid w:val="00077E5F"/>
    <w:rsid w:val="0008036A"/>
    <w:rsid w:val="00081AE6"/>
    <w:rsid w:val="00084ECB"/>
    <w:rsid w:val="000855EB"/>
    <w:rsid w:val="00085B52"/>
    <w:rsid w:val="000866F2"/>
    <w:rsid w:val="0009009F"/>
    <w:rsid w:val="00090CCA"/>
    <w:rsid w:val="00091557"/>
    <w:rsid w:val="000924C1"/>
    <w:rsid w:val="000924F0"/>
    <w:rsid w:val="00093474"/>
    <w:rsid w:val="0009510F"/>
    <w:rsid w:val="000A1B7B"/>
    <w:rsid w:val="000A36C3"/>
    <w:rsid w:val="000A56F2"/>
    <w:rsid w:val="000B2719"/>
    <w:rsid w:val="000B3A8F"/>
    <w:rsid w:val="000B4AB9"/>
    <w:rsid w:val="000B58C3"/>
    <w:rsid w:val="000B61E9"/>
    <w:rsid w:val="000C038F"/>
    <w:rsid w:val="000C165A"/>
    <w:rsid w:val="000C1C0A"/>
    <w:rsid w:val="000C27C5"/>
    <w:rsid w:val="000C2E19"/>
    <w:rsid w:val="000C431C"/>
    <w:rsid w:val="000C7397"/>
    <w:rsid w:val="000D0D07"/>
    <w:rsid w:val="000D1B11"/>
    <w:rsid w:val="000D2D69"/>
    <w:rsid w:val="000D4797"/>
    <w:rsid w:val="000D6C88"/>
    <w:rsid w:val="000E0527"/>
    <w:rsid w:val="000E1E92"/>
    <w:rsid w:val="000E309E"/>
    <w:rsid w:val="000E79C6"/>
    <w:rsid w:val="000F06D6"/>
    <w:rsid w:val="000F0EB1"/>
    <w:rsid w:val="000F1106"/>
    <w:rsid w:val="000F3BE9"/>
    <w:rsid w:val="000F3F6C"/>
    <w:rsid w:val="000F43CB"/>
    <w:rsid w:val="000F6DF3"/>
    <w:rsid w:val="001005FF"/>
    <w:rsid w:val="00100F45"/>
    <w:rsid w:val="0010435E"/>
    <w:rsid w:val="001062FB"/>
    <w:rsid w:val="001063E6"/>
    <w:rsid w:val="00110233"/>
    <w:rsid w:val="00113CF4"/>
    <w:rsid w:val="00114D43"/>
    <w:rsid w:val="001153EA"/>
    <w:rsid w:val="00115643"/>
    <w:rsid w:val="00115E25"/>
    <w:rsid w:val="001163DE"/>
    <w:rsid w:val="00116765"/>
    <w:rsid w:val="001219F5"/>
    <w:rsid w:val="00121A20"/>
    <w:rsid w:val="0012377F"/>
    <w:rsid w:val="00124314"/>
    <w:rsid w:val="00125CE0"/>
    <w:rsid w:val="00126B4A"/>
    <w:rsid w:val="00132FD0"/>
    <w:rsid w:val="001344C0"/>
    <w:rsid w:val="001346FA"/>
    <w:rsid w:val="00135252"/>
    <w:rsid w:val="001357BC"/>
    <w:rsid w:val="00136E4D"/>
    <w:rsid w:val="00137728"/>
    <w:rsid w:val="00137AB5"/>
    <w:rsid w:val="00137F0B"/>
    <w:rsid w:val="00143008"/>
    <w:rsid w:val="0014787F"/>
    <w:rsid w:val="00150A80"/>
    <w:rsid w:val="001519C5"/>
    <w:rsid w:val="00151E23"/>
    <w:rsid w:val="001526E0"/>
    <w:rsid w:val="001551B5"/>
    <w:rsid w:val="00155543"/>
    <w:rsid w:val="00157777"/>
    <w:rsid w:val="00165516"/>
    <w:rsid w:val="001659C1"/>
    <w:rsid w:val="0016637B"/>
    <w:rsid w:val="00170C54"/>
    <w:rsid w:val="00173A8E"/>
    <w:rsid w:val="001756AE"/>
    <w:rsid w:val="0018143F"/>
    <w:rsid w:val="00190AC1"/>
    <w:rsid w:val="00192810"/>
    <w:rsid w:val="001928FD"/>
    <w:rsid w:val="0019341A"/>
    <w:rsid w:val="00193FCC"/>
    <w:rsid w:val="001955A4"/>
    <w:rsid w:val="00197DF9"/>
    <w:rsid w:val="001A1987"/>
    <w:rsid w:val="001A2564"/>
    <w:rsid w:val="001A27F7"/>
    <w:rsid w:val="001A2B06"/>
    <w:rsid w:val="001A3B8E"/>
    <w:rsid w:val="001A6173"/>
    <w:rsid w:val="001A6CBA"/>
    <w:rsid w:val="001B0D97"/>
    <w:rsid w:val="001B189A"/>
    <w:rsid w:val="001B4047"/>
    <w:rsid w:val="001B5A5D"/>
    <w:rsid w:val="001C1CE5"/>
    <w:rsid w:val="001C3D2A"/>
    <w:rsid w:val="001C4AE4"/>
    <w:rsid w:val="001C6B14"/>
    <w:rsid w:val="001D51BA"/>
    <w:rsid w:val="001D61A9"/>
    <w:rsid w:val="001D6342"/>
    <w:rsid w:val="001D6D53"/>
    <w:rsid w:val="001E0114"/>
    <w:rsid w:val="001E03E6"/>
    <w:rsid w:val="001E09BB"/>
    <w:rsid w:val="001E1A14"/>
    <w:rsid w:val="001E58E2"/>
    <w:rsid w:val="001E77DF"/>
    <w:rsid w:val="001E7AED"/>
    <w:rsid w:val="001F2689"/>
    <w:rsid w:val="001F2B1C"/>
    <w:rsid w:val="001F3916"/>
    <w:rsid w:val="001F54C5"/>
    <w:rsid w:val="001F662C"/>
    <w:rsid w:val="001F7074"/>
    <w:rsid w:val="001F7D66"/>
    <w:rsid w:val="00200490"/>
    <w:rsid w:val="00201F3A"/>
    <w:rsid w:val="00203F96"/>
    <w:rsid w:val="002058B3"/>
    <w:rsid w:val="002069B2"/>
    <w:rsid w:val="00207231"/>
    <w:rsid w:val="00207C72"/>
    <w:rsid w:val="00207FA3"/>
    <w:rsid w:val="0021200B"/>
    <w:rsid w:val="002149AE"/>
    <w:rsid w:val="00214DA8"/>
    <w:rsid w:val="00215423"/>
    <w:rsid w:val="002158FA"/>
    <w:rsid w:val="002164EF"/>
    <w:rsid w:val="00220600"/>
    <w:rsid w:val="002224DB"/>
    <w:rsid w:val="00223FCB"/>
    <w:rsid w:val="00224B0E"/>
    <w:rsid w:val="002252C3"/>
    <w:rsid w:val="00225C54"/>
    <w:rsid w:val="00230765"/>
    <w:rsid w:val="002319E4"/>
    <w:rsid w:val="00232192"/>
    <w:rsid w:val="00235632"/>
    <w:rsid w:val="00235872"/>
    <w:rsid w:val="00240E69"/>
    <w:rsid w:val="00241559"/>
    <w:rsid w:val="002435B3"/>
    <w:rsid w:val="002458EB"/>
    <w:rsid w:val="002460BE"/>
    <w:rsid w:val="00246C7A"/>
    <w:rsid w:val="002500C8"/>
    <w:rsid w:val="002502EA"/>
    <w:rsid w:val="0025561B"/>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E4F"/>
    <w:rsid w:val="002805F5"/>
    <w:rsid w:val="00280751"/>
    <w:rsid w:val="0028280A"/>
    <w:rsid w:val="002828DA"/>
    <w:rsid w:val="00286ACD"/>
    <w:rsid w:val="00287838"/>
    <w:rsid w:val="002907B5"/>
    <w:rsid w:val="0029206D"/>
    <w:rsid w:val="00292EB7"/>
    <w:rsid w:val="00295E23"/>
    <w:rsid w:val="00296227"/>
    <w:rsid w:val="00296F44"/>
    <w:rsid w:val="0029777D"/>
    <w:rsid w:val="002A055E"/>
    <w:rsid w:val="002A083D"/>
    <w:rsid w:val="002A1D4E"/>
    <w:rsid w:val="002A2869"/>
    <w:rsid w:val="002A7445"/>
    <w:rsid w:val="002A778C"/>
    <w:rsid w:val="002B24D6"/>
    <w:rsid w:val="002C2EC1"/>
    <w:rsid w:val="002C41E6"/>
    <w:rsid w:val="002C51BA"/>
    <w:rsid w:val="002C5FAA"/>
    <w:rsid w:val="002D04B8"/>
    <w:rsid w:val="002D071A"/>
    <w:rsid w:val="002D0D2C"/>
    <w:rsid w:val="002D34B2"/>
    <w:rsid w:val="002D3E97"/>
    <w:rsid w:val="002D6234"/>
    <w:rsid w:val="002D6CA1"/>
    <w:rsid w:val="002D7637"/>
    <w:rsid w:val="002E17F2"/>
    <w:rsid w:val="002E5728"/>
    <w:rsid w:val="002E5848"/>
    <w:rsid w:val="002E7CAE"/>
    <w:rsid w:val="002F2771"/>
    <w:rsid w:val="002F2A9F"/>
    <w:rsid w:val="002F37A9"/>
    <w:rsid w:val="002F5CC2"/>
    <w:rsid w:val="002F6661"/>
    <w:rsid w:val="00301CE6"/>
    <w:rsid w:val="0030256B"/>
    <w:rsid w:val="00302631"/>
    <w:rsid w:val="003042A8"/>
    <w:rsid w:val="0030501F"/>
    <w:rsid w:val="00306D27"/>
    <w:rsid w:val="00307BA1"/>
    <w:rsid w:val="00311702"/>
    <w:rsid w:val="00311E82"/>
    <w:rsid w:val="00313FD6"/>
    <w:rsid w:val="003140FC"/>
    <w:rsid w:val="003143BD"/>
    <w:rsid w:val="00317322"/>
    <w:rsid w:val="0031745A"/>
    <w:rsid w:val="0032000A"/>
    <w:rsid w:val="003203ED"/>
    <w:rsid w:val="003206D7"/>
    <w:rsid w:val="0032131B"/>
    <w:rsid w:val="00321F37"/>
    <w:rsid w:val="00322C9F"/>
    <w:rsid w:val="00322E42"/>
    <w:rsid w:val="0032460C"/>
    <w:rsid w:val="00324D23"/>
    <w:rsid w:val="00325A36"/>
    <w:rsid w:val="00326FE1"/>
    <w:rsid w:val="00331751"/>
    <w:rsid w:val="00334579"/>
    <w:rsid w:val="00335858"/>
    <w:rsid w:val="00336BDA"/>
    <w:rsid w:val="00337AC5"/>
    <w:rsid w:val="00337C41"/>
    <w:rsid w:val="00342681"/>
    <w:rsid w:val="00342BD7"/>
    <w:rsid w:val="00346DB5"/>
    <w:rsid w:val="003477B1"/>
    <w:rsid w:val="0034790A"/>
    <w:rsid w:val="00353B0B"/>
    <w:rsid w:val="00354011"/>
    <w:rsid w:val="003557FB"/>
    <w:rsid w:val="00357380"/>
    <w:rsid w:val="003602D9"/>
    <w:rsid w:val="003604CE"/>
    <w:rsid w:val="003623FE"/>
    <w:rsid w:val="003632D8"/>
    <w:rsid w:val="00367803"/>
    <w:rsid w:val="00370E47"/>
    <w:rsid w:val="00372747"/>
    <w:rsid w:val="003742AC"/>
    <w:rsid w:val="00376F17"/>
    <w:rsid w:val="00377CE1"/>
    <w:rsid w:val="003856C9"/>
    <w:rsid w:val="00385BF0"/>
    <w:rsid w:val="00390400"/>
    <w:rsid w:val="00391C44"/>
    <w:rsid w:val="003921EB"/>
    <w:rsid w:val="003939FF"/>
    <w:rsid w:val="0039454E"/>
    <w:rsid w:val="00394AF5"/>
    <w:rsid w:val="0039564B"/>
    <w:rsid w:val="003A0700"/>
    <w:rsid w:val="003A2223"/>
    <w:rsid w:val="003A2A0F"/>
    <w:rsid w:val="003A34D9"/>
    <w:rsid w:val="003A45A1"/>
    <w:rsid w:val="003A5B0A"/>
    <w:rsid w:val="003A6BAC"/>
    <w:rsid w:val="003A7707"/>
    <w:rsid w:val="003A7EF3"/>
    <w:rsid w:val="003B159C"/>
    <w:rsid w:val="003B15D1"/>
    <w:rsid w:val="003B24E3"/>
    <w:rsid w:val="003B3218"/>
    <w:rsid w:val="003B369F"/>
    <w:rsid w:val="003B36A3"/>
    <w:rsid w:val="003B7FE5"/>
    <w:rsid w:val="003C11C8"/>
    <w:rsid w:val="003C26F0"/>
    <w:rsid w:val="003C2702"/>
    <w:rsid w:val="003C672E"/>
    <w:rsid w:val="003C77DD"/>
    <w:rsid w:val="003C7806"/>
    <w:rsid w:val="003D109F"/>
    <w:rsid w:val="003D2478"/>
    <w:rsid w:val="003D3C45"/>
    <w:rsid w:val="003D5B1F"/>
    <w:rsid w:val="003D6006"/>
    <w:rsid w:val="003E15FA"/>
    <w:rsid w:val="003E33C9"/>
    <w:rsid w:val="003E55E4"/>
    <w:rsid w:val="003E6325"/>
    <w:rsid w:val="003E65CB"/>
    <w:rsid w:val="003E74E3"/>
    <w:rsid w:val="003F05C7"/>
    <w:rsid w:val="003F2868"/>
    <w:rsid w:val="003F2CD4"/>
    <w:rsid w:val="003F2DF5"/>
    <w:rsid w:val="003F4C20"/>
    <w:rsid w:val="003F6BBE"/>
    <w:rsid w:val="004000E8"/>
    <w:rsid w:val="00401B08"/>
    <w:rsid w:val="00402E2B"/>
    <w:rsid w:val="00404F83"/>
    <w:rsid w:val="0040512B"/>
    <w:rsid w:val="0040594A"/>
    <w:rsid w:val="00405CA5"/>
    <w:rsid w:val="00407AB5"/>
    <w:rsid w:val="00407CD3"/>
    <w:rsid w:val="00410134"/>
    <w:rsid w:val="00410B72"/>
    <w:rsid w:val="00410F18"/>
    <w:rsid w:val="004117A3"/>
    <w:rsid w:val="0041263E"/>
    <w:rsid w:val="0041398A"/>
    <w:rsid w:val="00413AAC"/>
    <w:rsid w:val="004161FB"/>
    <w:rsid w:val="00421105"/>
    <w:rsid w:val="004242F4"/>
    <w:rsid w:val="004243CF"/>
    <w:rsid w:val="00427248"/>
    <w:rsid w:val="004300C8"/>
    <w:rsid w:val="0043237B"/>
    <w:rsid w:val="00432B77"/>
    <w:rsid w:val="004353D2"/>
    <w:rsid w:val="004358F0"/>
    <w:rsid w:val="00437447"/>
    <w:rsid w:val="004404DD"/>
    <w:rsid w:val="00441A92"/>
    <w:rsid w:val="004428EF"/>
    <w:rsid w:val="00444BC4"/>
    <w:rsid w:val="00444F56"/>
    <w:rsid w:val="0044528E"/>
    <w:rsid w:val="00446488"/>
    <w:rsid w:val="004517AA"/>
    <w:rsid w:val="00452CAC"/>
    <w:rsid w:val="00452E9A"/>
    <w:rsid w:val="00452ED0"/>
    <w:rsid w:val="0045458F"/>
    <w:rsid w:val="00457565"/>
    <w:rsid w:val="00457B71"/>
    <w:rsid w:val="00457FE5"/>
    <w:rsid w:val="004625EA"/>
    <w:rsid w:val="004627BD"/>
    <w:rsid w:val="00465BFD"/>
    <w:rsid w:val="004669E2"/>
    <w:rsid w:val="004676B0"/>
    <w:rsid w:val="00470C31"/>
    <w:rsid w:val="004734D0"/>
    <w:rsid w:val="0047475A"/>
    <w:rsid w:val="0047556B"/>
    <w:rsid w:val="0047713E"/>
    <w:rsid w:val="00477768"/>
    <w:rsid w:val="00481C33"/>
    <w:rsid w:val="00483F3E"/>
    <w:rsid w:val="00486ACF"/>
    <w:rsid w:val="0049056D"/>
    <w:rsid w:val="00492BC5"/>
    <w:rsid w:val="00492BD0"/>
    <w:rsid w:val="00495119"/>
    <w:rsid w:val="004964F1"/>
    <w:rsid w:val="004A119C"/>
    <w:rsid w:val="004A16BC"/>
    <w:rsid w:val="004A1DD3"/>
    <w:rsid w:val="004A2B94"/>
    <w:rsid w:val="004A32E3"/>
    <w:rsid w:val="004A7D56"/>
    <w:rsid w:val="004B4C3B"/>
    <w:rsid w:val="004B72BA"/>
    <w:rsid w:val="004B7C0C"/>
    <w:rsid w:val="004C379F"/>
    <w:rsid w:val="004C3898"/>
    <w:rsid w:val="004C7E2C"/>
    <w:rsid w:val="004D36B1"/>
    <w:rsid w:val="004D4367"/>
    <w:rsid w:val="004D7EBD"/>
    <w:rsid w:val="004E0C92"/>
    <w:rsid w:val="004E2680"/>
    <w:rsid w:val="004E28F9"/>
    <w:rsid w:val="004E462E"/>
    <w:rsid w:val="004E56DC"/>
    <w:rsid w:val="004E602C"/>
    <w:rsid w:val="004E64B0"/>
    <w:rsid w:val="004E76F4"/>
    <w:rsid w:val="004E76FE"/>
    <w:rsid w:val="004F0B4E"/>
    <w:rsid w:val="004F0B6C"/>
    <w:rsid w:val="004F2078"/>
    <w:rsid w:val="004F2709"/>
    <w:rsid w:val="004F4DA3"/>
    <w:rsid w:val="004F76B3"/>
    <w:rsid w:val="00502C0B"/>
    <w:rsid w:val="00506557"/>
    <w:rsid w:val="0050677A"/>
    <w:rsid w:val="005108D8"/>
    <w:rsid w:val="005116F9"/>
    <w:rsid w:val="00514227"/>
    <w:rsid w:val="0051448F"/>
    <w:rsid w:val="005153A7"/>
    <w:rsid w:val="005165E2"/>
    <w:rsid w:val="00517AD0"/>
    <w:rsid w:val="0052037E"/>
    <w:rsid w:val="00520D36"/>
    <w:rsid w:val="005219CF"/>
    <w:rsid w:val="005238BB"/>
    <w:rsid w:val="00527027"/>
    <w:rsid w:val="00530FD1"/>
    <w:rsid w:val="00534B59"/>
    <w:rsid w:val="00535A57"/>
    <w:rsid w:val="00536759"/>
    <w:rsid w:val="00537C62"/>
    <w:rsid w:val="00546970"/>
    <w:rsid w:val="0055231F"/>
    <w:rsid w:val="00554E19"/>
    <w:rsid w:val="0056121F"/>
    <w:rsid w:val="00565488"/>
    <w:rsid w:val="005667A4"/>
    <w:rsid w:val="00572505"/>
    <w:rsid w:val="00573188"/>
    <w:rsid w:val="00573BDB"/>
    <w:rsid w:val="0057568B"/>
    <w:rsid w:val="00577BB7"/>
    <w:rsid w:val="00582267"/>
    <w:rsid w:val="00582809"/>
    <w:rsid w:val="00582F5F"/>
    <w:rsid w:val="00584027"/>
    <w:rsid w:val="0058798C"/>
    <w:rsid w:val="00587FA9"/>
    <w:rsid w:val="005900FA"/>
    <w:rsid w:val="0059060D"/>
    <w:rsid w:val="005935A4"/>
    <w:rsid w:val="005943A9"/>
    <w:rsid w:val="00594793"/>
    <w:rsid w:val="005948C2"/>
    <w:rsid w:val="00594A09"/>
    <w:rsid w:val="00595DCA"/>
    <w:rsid w:val="0059779B"/>
    <w:rsid w:val="005A014B"/>
    <w:rsid w:val="005A209A"/>
    <w:rsid w:val="005A3F00"/>
    <w:rsid w:val="005A56B8"/>
    <w:rsid w:val="005A662D"/>
    <w:rsid w:val="005A68BA"/>
    <w:rsid w:val="005B04A1"/>
    <w:rsid w:val="005B1CDF"/>
    <w:rsid w:val="005B35D7"/>
    <w:rsid w:val="005B392A"/>
    <w:rsid w:val="005B3AA3"/>
    <w:rsid w:val="005B43A5"/>
    <w:rsid w:val="005B6F83"/>
    <w:rsid w:val="005C0267"/>
    <w:rsid w:val="005C0992"/>
    <w:rsid w:val="005C1729"/>
    <w:rsid w:val="005C1962"/>
    <w:rsid w:val="005C55E3"/>
    <w:rsid w:val="005C74FB"/>
    <w:rsid w:val="005D1602"/>
    <w:rsid w:val="005D2AFD"/>
    <w:rsid w:val="005D4A91"/>
    <w:rsid w:val="005D4C89"/>
    <w:rsid w:val="005D6F32"/>
    <w:rsid w:val="005D7ED0"/>
    <w:rsid w:val="005E385F"/>
    <w:rsid w:val="005E5834"/>
    <w:rsid w:val="005E5B81"/>
    <w:rsid w:val="005E6EB3"/>
    <w:rsid w:val="005F2CB1"/>
    <w:rsid w:val="005F3025"/>
    <w:rsid w:val="005F3A30"/>
    <w:rsid w:val="005F618C"/>
    <w:rsid w:val="005F70BD"/>
    <w:rsid w:val="006000D8"/>
    <w:rsid w:val="00600F6A"/>
    <w:rsid w:val="0060283C"/>
    <w:rsid w:val="0060342F"/>
    <w:rsid w:val="00603BC5"/>
    <w:rsid w:val="00604F14"/>
    <w:rsid w:val="00607463"/>
    <w:rsid w:val="00610AE8"/>
    <w:rsid w:val="00611B83"/>
    <w:rsid w:val="00613257"/>
    <w:rsid w:val="00615B9D"/>
    <w:rsid w:val="006204DC"/>
    <w:rsid w:val="00620A71"/>
    <w:rsid w:val="00620D80"/>
    <w:rsid w:val="006234A6"/>
    <w:rsid w:val="006238D3"/>
    <w:rsid w:val="00623923"/>
    <w:rsid w:val="00623CA9"/>
    <w:rsid w:val="00630001"/>
    <w:rsid w:val="006311B3"/>
    <w:rsid w:val="00631F81"/>
    <w:rsid w:val="0063284C"/>
    <w:rsid w:val="00633236"/>
    <w:rsid w:val="00636398"/>
    <w:rsid w:val="006368D3"/>
    <w:rsid w:val="006377EC"/>
    <w:rsid w:val="00640B3B"/>
    <w:rsid w:val="0064151F"/>
    <w:rsid w:val="00641533"/>
    <w:rsid w:val="00641D36"/>
    <w:rsid w:val="0064208D"/>
    <w:rsid w:val="00643475"/>
    <w:rsid w:val="0064396A"/>
    <w:rsid w:val="00645491"/>
    <w:rsid w:val="0064624E"/>
    <w:rsid w:val="00650AB9"/>
    <w:rsid w:val="00651D0E"/>
    <w:rsid w:val="00655733"/>
    <w:rsid w:val="00655ACD"/>
    <w:rsid w:val="00656A92"/>
    <w:rsid w:val="00656B4E"/>
    <w:rsid w:val="00656DDE"/>
    <w:rsid w:val="0066011D"/>
    <w:rsid w:val="006607C0"/>
    <w:rsid w:val="006613A6"/>
    <w:rsid w:val="006627A2"/>
    <w:rsid w:val="006634E6"/>
    <w:rsid w:val="006655EE"/>
    <w:rsid w:val="00666B4F"/>
    <w:rsid w:val="00667EE7"/>
    <w:rsid w:val="00670922"/>
    <w:rsid w:val="00670BE1"/>
    <w:rsid w:val="0067218F"/>
    <w:rsid w:val="006730B4"/>
    <w:rsid w:val="006741F2"/>
    <w:rsid w:val="0067447C"/>
    <w:rsid w:val="00674CC3"/>
    <w:rsid w:val="00675C72"/>
    <w:rsid w:val="006771F9"/>
    <w:rsid w:val="006776D7"/>
    <w:rsid w:val="00681003"/>
    <w:rsid w:val="006817C9"/>
    <w:rsid w:val="0068337C"/>
    <w:rsid w:val="00683ECE"/>
    <w:rsid w:val="00685964"/>
    <w:rsid w:val="006865E1"/>
    <w:rsid w:val="00690137"/>
    <w:rsid w:val="00691500"/>
    <w:rsid w:val="0069162B"/>
    <w:rsid w:val="00693726"/>
    <w:rsid w:val="00693AC9"/>
    <w:rsid w:val="00695C75"/>
    <w:rsid w:val="00695FC2"/>
    <w:rsid w:val="00696949"/>
    <w:rsid w:val="00697052"/>
    <w:rsid w:val="006A1266"/>
    <w:rsid w:val="006A18D5"/>
    <w:rsid w:val="006A46FB"/>
    <w:rsid w:val="006A4DC6"/>
    <w:rsid w:val="006A5E28"/>
    <w:rsid w:val="006A697B"/>
    <w:rsid w:val="006A7AFF"/>
    <w:rsid w:val="006B0BB5"/>
    <w:rsid w:val="006B165C"/>
    <w:rsid w:val="006B1816"/>
    <w:rsid w:val="006B2099"/>
    <w:rsid w:val="006B20D2"/>
    <w:rsid w:val="006B27D4"/>
    <w:rsid w:val="006B50CF"/>
    <w:rsid w:val="006C03B8"/>
    <w:rsid w:val="006C0E8F"/>
    <w:rsid w:val="006C1ED3"/>
    <w:rsid w:val="006C2858"/>
    <w:rsid w:val="006C5EC9"/>
    <w:rsid w:val="006C6059"/>
    <w:rsid w:val="006C7522"/>
    <w:rsid w:val="006D14DB"/>
    <w:rsid w:val="006D3F13"/>
    <w:rsid w:val="006D5B70"/>
    <w:rsid w:val="006D5D33"/>
    <w:rsid w:val="006D67A7"/>
    <w:rsid w:val="006D6F08"/>
    <w:rsid w:val="006E062C"/>
    <w:rsid w:val="006E28B7"/>
    <w:rsid w:val="006E3310"/>
    <w:rsid w:val="006E4AAA"/>
    <w:rsid w:val="006E4E39"/>
    <w:rsid w:val="006E565E"/>
    <w:rsid w:val="006E61C1"/>
    <w:rsid w:val="006E673D"/>
    <w:rsid w:val="006E7D3B"/>
    <w:rsid w:val="006F0F8A"/>
    <w:rsid w:val="006F1257"/>
    <w:rsid w:val="006F1B70"/>
    <w:rsid w:val="006F341D"/>
    <w:rsid w:val="006F3CDE"/>
    <w:rsid w:val="006F58D4"/>
    <w:rsid w:val="006F6C93"/>
    <w:rsid w:val="007006BE"/>
    <w:rsid w:val="0070346E"/>
    <w:rsid w:val="00703485"/>
    <w:rsid w:val="00704EDB"/>
    <w:rsid w:val="00706101"/>
    <w:rsid w:val="00707072"/>
    <w:rsid w:val="00707C32"/>
    <w:rsid w:val="00707D61"/>
    <w:rsid w:val="00710627"/>
    <w:rsid w:val="007116BD"/>
    <w:rsid w:val="00712287"/>
    <w:rsid w:val="007123AB"/>
    <w:rsid w:val="00712772"/>
    <w:rsid w:val="00713A69"/>
    <w:rsid w:val="007148D3"/>
    <w:rsid w:val="00714E0E"/>
    <w:rsid w:val="00715B9A"/>
    <w:rsid w:val="00724C01"/>
    <w:rsid w:val="00726EA6"/>
    <w:rsid w:val="00727208"/>
    <w:rsid w:val="00727680"/>
    <w:rsid w:val="00732966"/>
    <w:rsid w:val="007348B1"/>
    <w:rsid w:val="00735268"/>
    <w:rsid w:val="007362A6"/>
    <w:rsid w:val="00736D7D"/>
    <w:rsid w:val="00740E58"/>
    <w:rsid w:val="007429F7"/>
    <w:rsid w:val="007445A0"/>
    <w:rsid w:val="0074524B"/>
    <w:rsid w:val="00747D8B"/>
    <w:rsid w:val="007508A2"/>
    <w:rsid w:val="00751228"/>
    <w:rsid w:val="00756DA6"/>
    <w:rsid w:val="007571E1"/>
    <w:rsid w:val="007604B2"/>
    <w:rsid w:val="00761F5F"/>
    <w:rsid w:val="007629FB"/>
    <w:rsid w:val="00765281"/>
    <w:rsid w:val="0076573D"/>
    <w:rsid w:val="00766BAD"/>
    <w:rsid w:val="0076708C"/>
    <w:rsid w:val="007755F2"/>
    <w:rsid w:val="00776971"/>
    <w:rsid w:val="00777AC8"/>
    <w:rsid w:val="00780544"/>
    <w:rsid w:val="0078177E"/>
    <w:rsid w:val="0078304C"/>
    <w:rsid w:val="00783673"/>
    <w:rsid w:val="00785490"/>
    <w:rsid w:val="00790CA0"/>
    <w:rsid w:val="0079247C"/>
    <w:rsid w:val="007925EA"/>
    <w:rsid w:val="00792A09"/>
    <w:rsid w:val="00793CD8"/>
    <w:rsid w:val="007950A8"/>
    <w:rsid w:val="00795C92"/>
    <w:rsid w:val="00796231"/>
    <w:rsid w:val="007966F9"/>
    <w:rsid w:val="007A1CB3"/>
    <w:rsid w:val="007A306F"/>
    <w:rsid w:val="007A43A6"/>
    <w:rsid w:val="007A4741"/>
    <w:rsid w:val="007A58A6"/>
    <w:rsid w:val="007A60DE"/>
    <w:rsid w:val="007A6AD0"/>
    <w:rsid w:val="007B182A"/>
    <w:rsid w:val="007B216A"/>
    <w:rsid w:val="007B2CC0"/>
    <w:rsid w:val="007B3D2D"/>
    <w:rsid w:val="007B50AE"/>
    <w:rsid w:val="007B51DF"/>
    <w:rsid w:val="007C05DD"/>
    <w:rsid w:val="007C3D18"/>
    <w:rsid w:val="007C60BF"/>
    <w:rsid w:val="007C6A07"/>
    <w:rsid w:val="007C75A1"/>
    <w:rsid w:val="007C77A5"/>
    <w:rsid w:val="007C7B6C"/>
    <w:rsid w:val="007C7FC5"/>
    <w:rsid w:val="007D04E5"/>
    <w:rsid w:val="007D5901"/>
    <w:rsid w:val="007D685B"/>
    <w:rsid w:val="007D7526"/>
    <w:rsid w:val="007E0062"/>
    <w:rsid w:val="007E4610"/>
    <w:rsid w:val="007E4715"/>
    <w:rsid w:val="007E505B"/>
    <w:rsid w:val="007E7091"/>
    <w:rsid w:val="007E784D"/>
    <w:rsid w:val="007F07D5"/>
    <w:rsid w:val="0080371F"/>
    <w:rsid w:val="00803FAE"/>
    <w:rsid w:val="0080605F"/>
    <w:rsid w:val="00807786"/>
    <w:rsid w:val="0081076A"/>
    <w:rsid w:val="00811FCB"/>
    <w:rsid w:val="008158D6"/>
    <w:rsid w:val="00817196"/>
    <w:rsid w:val="00820630"/>
    <w:rsid w:val="008235DB"/>
    <w:rsid w:val="00824AB4"/>
    <w:rsid w:val="00825C42"/>
    <w:rsid w:val="00825D25"/>
    <w:rsid w:val="008279A7"/>
    <w:rsid w:val="00827D6F"/>
    <w:rsid w:val="0083700D"/>
    <w:rsid w:val="008376AC"/>
    <w:rsid w:val="008409AB"/>
    <w:rsid w:val="008441D0"/>
    <w:rsid w:val="008444E8"/>
    <w:rsid w:val="00844E80"/>
    <w:rsid w:val="00846FE7"/>
    <w:rsid w:val="00856911"/>
    <w:rsid w:val="00860103"/>
    <w:rsid w:val="008677FD"/>
    <w:rsid w:val="008706D4"/>
    <w:rsid w:val="00870F8A"/>
    <w:rsid w:val="008719A4"/>
    <w:rsid w:val="00871D23"/>
    <w:rsid w:val="00874312"/>
    <w:rsid w:val="0087437C"/>
    <w:rsid w:val="00875CD7"/>
    <w:rsid w:val="00876B4D"/>
    <w:rsid w:val="00877F18"/>
    <w:rsid w:val="00884BB3"/>
    <w:rsid w:val="00885D70"/>
    <w:rsid w:val="00887FD9"/>
    <w:rsid w:val="0089039E"/>
    <w:rsid w:val="00890A58"/>
    <w:rsid w:val="00894A88"/>
    <w:rsid w:val="00895386"/>
    <w:rsid w:val="00896419"/>
    <w:rsid w:val="008A21FF"/>
    <w:rsid w:val="008A2CE2"/>
    <w:rsid w:val="008A30AC"/>
    <w:rsid w:val="008A44B8"/>
    <w:rsid w:val="008A51A8"/>
    <w:rsid w:val="008A54C7"/>
    <w:rsid w:val="008A6324"/>
    <w:rsid w:val="008A718A"/>
    <w:rsid w:val="008A77D8"/>
    <w:rsid w:val="008B0483"/>
    <w:rsid w:val="008B120C"/>
    <w:rsid w:val="008B51A0"/>
    <w:rsid w:val="008B592A"/>
    <w:rsid w:val="008B6058"/>
    <w:rsid w:val="008B7B5C"/>
    <w:rsid w:val="008C0C99"/>
    <w:rsid w:val="008C11B4"/>
    <w:rsid w:val="008C2017"/>
    <w:rsid w:val="008C243B"/>
    <w:rsid w:val="008C4958"/>
    <w:rsid w:val="008C4BAA"/>
    <w:rsid w:val="008C55FE"/>
    <w:rsid w:val="008C6AE8"/>
    <w:rsid w:val="008C7573"/>
    <w:rsid w:val="008D084F"/>
    <w:rsid w:val="008D34F1"/>
    <w:rsid w:val="008D39D8"/>
    <w:rsid w:val="008D47E3"/>
    <w:rsid w:val="008D4F7B"/>
    <w:rsid w:val="008D5CEB"/>
    <w:rsid w:val="008D6D1A"/>
    <w:rsid w:val="008D6D2E"/>
    <w:rsid w:val="008D74B4"/>
    <w:rsid w:val="008E065E"/>
    <w:rsid w:val="008E0927"/>
    <w:rsid w:val="008E153D"/>
    <w:rsid w:val="008E1909"/>
    <w:rsid w:val="008E2EE4"/>
    <w:rsid w:val="008E4BE0"/>
    <w:rsid w:val="008E6D8A"/>
    <w:rsid w:val="008E70D3"/>
    <w:rsid w:val="008F09B2"/>
    <w:rsid w:val="008F1EAB"/>
    <w:rsid w:val="008F33DC"/>
    <w:rsid w:val="008F477F"/>
    <w:rsid w:val="008F523A"/>
    <w:rsid w:val="00902350"/>
    <w:rsid w:val="0090336B"/>
    <w:rsid w:val="009053AA"/>
    <w:rsid w:val="00906939"/>
    <w:rsid w:val="00910B7D"/>
    <w:rsid w:val="00911DFB"/>
    <w:rsid w:val="00912D2D"/>
    <w:rsid w:val="009139D9"/>
    <w:rsid w:val="00914AD8"/>
    <w:rsid w:val="00916046"/>
    <w:rsid w:val="00916079"/>
    <w:rsid w:val="00917CE9"/>
    <w:rsid w:val="0092075E"/>
    <w:rsid w:val="00920BF2"/>
    <w:rsid w:val="00922010"/>
    <w:rsid w:val="00923BA6"/>
    <w:rsid w:val="0092560E"/>
    <w:rsid w:val="0092575A"/>
    <w:rsid w:val="00927915"/>
    <w:rsid w:val="00930126"/>
    <w:rsid w:val="00931BD9"/>
    <w:rsid w:val="0093523B"/>
    <w:rsid w:val="009368F3"/>
    <w:rsid w:val="00941636"/>
    <w:rsid w:val="00942174"/>
    <w:rsid w:val="00943742"/>
    <w:rsid w:val="00945C05"/>
    <w:rsid w:val="00946945"/>
    <w:rsid w:val="00947713"/>
    <w:rsid w:val="00950DE7"/>
    <w:rsid w:val="009522F9"/>
    <w:rsid w:val="00953920"/>
    <w:rsid w:val="00953D47"/>
    <w:rsid w:val="00955E60"/>
    <w:rsid w:val="0095681E"/>
    <w:rsid w:val="009572D4"/>
    <w:rsid w:val="009602F2"/>
    <w:rsid w:val="00961921"/>
    <w:rsid w:val="00962383"/>
    <w:rsid w:val="0096430A"/>
    <w:rsid w:val="0096554B"/>
    <w:rsid w:val="0096584A"/>
    <w:rsid w:val="009659BA"/>
    <w:rsid w:val="009675AA"/>
    <w:rsid w:val="00971F08"/>
    <w:rsid w:val="0097603D"/>
    <w:rsid w:val="00976949"/>
    <w:rsid w:val="00977098"/>
    <w:rsid w:val="00980477"/>
    <w:rsid w:val="00985105"/>
    <w:rsid w:val="00985253"/>
    <w:rsid w:val="009853B3"/>
    <w:rsid w:val="009860D2"/>
    <w:rsid w:val="00990630"/>
    <w:rsid w:val="00991761"/>
    <w:rsid w:val="00994058"/>
    <w:rsid w:val="009940CF"/>
    <w:rsid w:val="00994DCA"/>
    <w:rsid w:val="009960EC"/>
    <w:rsid w:val="009970DD"/>
    <w:rsid w:val="009A0FBA"/>
    <w:rsid w:val="009A1601"/>
    <w:rsid w:val="009A1BC9"/>
    <w:rsid w:val="009A2BD6"/>
    <w:rsid w:val="009A462D"/>
    <w:rsid w:val="009A5CBA"/>
    <w:rsid w:val="009A7879"/>
    <w:rsid w:val="009B1F30"/>
    <w:rsid w:val="009B2D0C"/>
    <w:rsid w:val="009B3AC2"/>
    <w:rsid w:val="009B465F"/>
    <w:rsid w:val="009B4DF4"/>
    <w:rsid w:val="009B564E"/>
    <w:rsid w:val="009B7E87"/>
    <w:rsid w:val="009C403E"/>
    <w:rsid w:val="009C6694"/>
    <w:rsid w:val="009D048B"/>
    <w:rsid w:val="009D28AD"/>
    <w:rsid w:val="009D4FF0"/>
    <w:rsid w:val="009D703C"/>
    <w:rsid w:val="009D718F"/>
    <w:rsid w:val="009E068F"/>
    <w:rsid w:val="009E14E0"/>
    <w:rsid w:val="009E3159"/>
    <w:rsid w:val="009E35DB"/>
    <w:rsid w:val="009E47A3"/>
    <w:rsid w:val="009F08F3"/>
    <w:rsid w:val="009F344F"/>
    <w:rsid w:val="009F4A31"/>
    <w:rsid w:val="009F7EC6"/>
    <w:rsid w:val="00A01171"/>
    <w:rsid w:val="00A038C1"/>
    <w:rsid w:val="00A048A8"/>
    <w:rsid w:val="00A04C24"/>
    <w:rsid w:val="00A04F49"/>
    <w:rsid w:val="00A0560A"/>
    <w:rsid w:val="00A07A3D"/>
    <w:rsid w:val="00A13E54"/>
    <w:rsid w:val="00A14603"/>
    <w:rsid w:val="00A17F63"/>
    <w:rsid w:val="00A2193B"/>
    <w:rsid w:val="00A21F85"/>
    <w:rsid w:val="00A2351A"/>
    <w:rsid w:val="00A23C84"/>
    <w:rsid w:val="00A24474"/>
    <w:rsid w:val="00A25E7D"/>
    <w:rsid w:val="00A25F47"/>
    <w:rsid w:val="00A264A9"/>
    <w:rsid w:val="00A27785"/>
    <w:rsid w:val="00A27B61"/>
    <w:rsid w:val="00A30187"/>
    <w:rsid w:val="00A309A8"/>
    <w:rsid w:val="00A31C10"/>
    <w:rsid w:val="00A3448A"/>
    <w:rsid w:val="00A34AE3"/>
    <w:rsid w:val="00A36297"/>
    <w:rsid w:val="00A36D91"/>
    <w:rsid w:val="00A3793A"/>
    <w:rsid w:val="00A41E2B"/>
    <w:rsid w:val="00A45B74"/>
    <w:rsid w:val="00A52E1D"/>
    <w:rsid w:val="00A53C59"/>
    <w:rsid w:val="00A53CB2"/>
    <w:rsid w:val="00A5462F"/>
    <w:rsid w:val="00A555D3"/>
    <w:rsid w:val="00A61499"/>
    <w:rsid w:val="00A62A77"/>
    <w:rsid w:val="00A62D70"/>
    <w:rsid w:val="00A63483"/>
    <w:rsid w:val="00A657D7"/>
    <w:rsid w:val="00A660AC"/>
    <w:rsid w:val="00A67E6C"/>
    <w:rsid w:val="00A7147C"/>
    <w:rsid w:val="00A71B99"/>
    <w:rsid w:val="00A72341"/>
    <w:rsid w:val="00A739D0"/>
    <w:rsid w:val="00A761D4"/>
    <w:rsid w:val="00A77EC4"/>
    <w:rsid w:val="00A80760"/>
    <w:rsid w:val="00A8187D"/>
    <w:rsid w:val="00A83E8E"/>
    <w:rsid w:val="00A87208"/>
    <w:rsid w:val="00A92879"/>
    <w:rsid w:val="00A937F3"/>
    <w:rsid w:val="00A93A60"/>
    <w:rsid w:val="00A9442A"/>
    <w:rsid w:val="00AA016F"/>
    <w:rsid w:val="00AA1ED6"/>
    <w:rsid w:val="00AA2733"/>
    <w:rsid w:val="00AA4F83"/>
    <w:rsid w:val="00AA51D6"/>
    <w:rsid w:val="00AA72AC"/>
    <w:rsid w:val="00AA7770"/>
    <w:rsid w:val="00AB0BC8"/>
    <w:rsid w:val="00AB11CA"/>
    <w:rsid w:val="00AB14D9"/>
    <w:rsid w:val="00AB245B"/>
    <w:rsid w:val="00AB3577"/>
    <w:rsid w:val="00AB4AB8"/>
    <w:rsid w:val="00AB63BB"/>
    <w:rsid w:val="00AB655E"/>
    <w:rsid w:val="00AC007F"/>
    <w:rsid w:val="00AC2ECD"/>
    <w:rsid w:val="00AC3119"/>
    <w:rsid w:val="00AC49FB"/>
    <w:rsid w:val="00AC5A10"/>
    <w:rsid w:val="00AD0AA3"/>
    <w:rsid w:val="00AD10A8"/>
    <w:rsid w:val="00AD1D0F"/>
    <w:rsid w:val="00AD1EEF"/>
    <w:rsid w:val="00AD2ACF"/>
    <w:rsid w:val="00AD3F94"/>
    <w:rsid w:val="00AD4A5A"/>
    <w:rsid w:val="00AD637A"/>
    <w:rsid w:val="00AE27AC"/>
    <w:rsid w:val="00AE28DF"/>
    <w:rsid w:val="00AE3489"/>
    <w:rsid w:val="00AE40E0"/>
    <w:rsid w:val="00AE4DBA"/>
    <w:rsid w:val="00AE4F07"/>
    <w:rsid w:val="00AE5C3E"/>
    <w:rsid w:val="00AE7C50"/>
    <w:rsid w:val="00AF1C5D"/>
    <w:rsid w:val="00AF1CEC"/>
    <w:rsid w:val="00AF34F9"/>
    <w:rsid w:val="00AF3715"/>
    <w:rsid w:val="00AF42D7"/>
    <w:rsid w:val="00AF4A2B"/>
    <w:rsid w:val="00AF70B2"/>
    <w:rsid w:val="00B00067"/>
    <w:rsid w:val="00B006FE"/>
    <w:rsid w:val="00B007CB"/>
    <w:rsid w:val="00B02AA9"/>
    <w:rsid w:val="00B02FA3"/>
    <w:rsid w:val="00B05084"/>
    <w:rsid w:val="00B157F9"/>
    <w:rsid w:val="00B16370"/>
    <w:rsid w:val="00B20256"/>
    <w:rsid w:val="00B20D09"/>
    <w:rsid w:val="00B22AD4"/>
    <w:rsid w:val="00B22D63"/>
    <w:rsid w:val="00B24917"/>
    <w:rsid w:val="00B2763F"/>
    <w:rsid w:val="00B27AAC"/>
    <w:rsid w:val="00B30431"/>
    <w:rsid w:val="00B30929"/>
    <w:rsid w:val="00B319CE"/>
    <w:rsid w:val="00B3535F"/>
    <w:rsid w:val="00B372AA"/>
    <w:rsid w:val="00B40445"/>
    <w:rsid w:val="00B41888"/>
    <w:rsid w:val="00B41F41"/>
    <w:rsid w:val="00B45A52"/>
    <w:rsid w:val="00B46175"/>
    <w:rsid w:val="00B461E7"/>
    <w:rsid w:val="00B468D4"/>
    <w:rsid w:val="00B503A6"/>
    <w:rsid w:val="00B5100C"/>
    <w:rsid w:val="00B536CC"/>
    <w:rsid w:val="00B6391E"/>
    <w:rsid w:val="00B664C7"/>
    <w:rsid w:val="00B70FB7"/>
    <w:rsid w:val="00B739F6"/>
    <w:rsid w:val="00B761D2"/>
    <w:rsid w:val="00B76BF6"/>
    <w:rsid w:val="00B8088E"/>
    <w:rsid w:val="00B816EA"/>
    <w:rsid w:val="00B81A6C"/>
    <w:rsid w:val="00B81B0D"/>
    <w:rsid w:val="00B83BC0"/>
    <w:rsid w:val="00B85DE5"/>
    <w:rsid w:val="00B90301"/>
    <w:rsid w:val="00B90C2F"/>
    <w:rsid w:val="00B90F73"/>
    <w:rsid w:val="00B92972"/>
    <w:rsid w:val="00B92D5D"/>
    <w:rsid w:val="00B92EA3"/>
    <w:rsid w:val="00B93B59"/>
    <w:rsid w:val="00B9406A"/>
    <w:rsid w:val="00B97352"/>
    <w:rsid w:val="00BA0B58"/>
    <w:rsid w:val="00BA2280"/>
    <w:rsid w:val="00BA2864"/>
    <w:rsid w:val="00BA2A08"/>
    <w:rsid w:val="00BA2B7A"/>
    <w:rsid w:val="00BA420C"/>
    <w:rsid w:val="00BA56D2"/>
    <w:rsid w:val="00BA76E0"/>
    <w:rsid w:val="00BB0A2E"/>
    <w:rsid w:val="00BB0BE1"/>
    <w:rsid w:val="00BB2A25"/>
    <w:rsid w:val="00BB2DC7"/>
    <w:rsid w:val="00BB3CE4"/>
    <w:rsid w:val="00BB51E9"/>
    <w:rsid w:val="00BB60B0"/>
    <w:rsid w:val="00BB6E74"/>
    <w:rsid w:val="00BC0345"/>
    <w:rsid w:val="00BC0FDC"/>
    <w:rsid w:val="00BC3053"/>
    <w:rsid w:val="00BC4D2E"/>
    <w:rsid w:val="00BD09F7"/>
    <w:rsid w:val="00BD324D"/>
    <w:rsid w:val="00BD48AC"/>
    <w:rsid w:val="00BD5F1A"/>
    <w:rsid w:val="00BE1234"/>
    <w:rsid w:val="00BE2FA6"/>
    <w:rsid w:val="00BE333F"/>
    <w:rsid w:val="00BE7406"/>
    <w:rsid w:val="00BE7603"/>
    <w:rsid w:val="00BF00F5"/>
    <w:rsid w:val="00BF21E6"/>
    <w:rsid w:val="00BF3279"/>
    <w:rsid w:val="00BF74C7"/>
    <w:rsid w:val="00C015F1"/>
    <w:rsid w:val="00C01F33"/>
    <w:rsid w:val="00C02CC6"/>
    <w:rsid w:val="00C040F7"/>
    <w:rsid w:val="00C044AB"/>
    <w:rsid w:val="00C04DD2"/>
    <w:rsid w:val="00C04F22"/>
    <w:rsid w:val="00C05706"/>
    <w:rsid w:val="00C07377"/>
    <w:rsid w:val="00C07D44"/>
    <w:rsid w:val="00C10478"/>
    <w:rsid w:val="00C10F3D"/>
    <w:rsid w:val="00C12107"/>
    <w:rsid w:val="00C14D4B"/>
    <w:rsid w:val="00C14D92"/>
    <w:rsid w:val="00C154BB"/>
    <w:rsid w:val="00C1744C"/>
    <w:rsid w:val="00C174D0"/>
    <w:rsid w:val="00C22738"/>
    <w:rsid w:val="00C24CB3"/>
    <w:rsid w:val="00C25B67"/>
    <w:rsid w:val="00C25C91"/>
    <w:rsid w:val="00C27711"/>
    <w:rsid w:val="00C279B5"/>
    <w:rsid w:val="00C27C45"/>
    <w:rsid w:val="00C31EC1"/>
    <w:rsid w:val="00C33F7D"/>
    <w:rsid w:val="00C36C34"/>
    <w:rsid w:val="00C3719D"/>
    <w:rsid w:val="00C401BA"/>
    <w:rsid w:val="00C4487A"/>
    <w:rsid w:val="00C44DC5"/>
    <w:rsid w:val="00C465CE"/>
    <w:rsid w:val="00C4713E"/>
    <w:rsid w:val="00C47294"/>
    <w:rsid w:val="00C54995"/>
    <w:rsid w:val="00C54D41"/>
    <w:rsid w:val="00C54E7B"/>
    <w:rsid w:val="00C57E51"/>
    <w:rsid w:val="00C57E65"/>
    <w:rsid w:val="00C60783"/>
    <w:rsid w:val="00C60D03"/>
    <w:rsid w:val="00C63BA2"/>
    <w:rsid w:val="00C64672"/>
    <w:rsid w:val="00C66127"/>
    <w:rsid w:val="00C70697"/>
    <w:rsid w:val="00C72EF4"/>
    <w:rsid w:val="00C75D2F"/>
    <w:rsid w:val="00C767BE"/>
    <w:rsid w:val="00C76E3C"/>
    <w:rsid w:val="00C81568"/>
    <w:rsid w:val="00C8725C"/>
    <w:rsid w:val="00C8739A"/>
    <w:rsid w:val="00C9027A"/>
    <w:rsid w:val="00C9068E"/>
    <w:rsid w:val="00C93C4B"/>
    <w:rsid w:val="00C944AB"/>
    <w:rsid w:val="00C95B40"/>
    <w:rsid w:val="00CA1E15"/>
    <w:rsid w:val="00CA1ED8"/>
    <w:rsid w:val="00CA5796"/>
    <w:rsid w:val="00CA5AF4"/>
    <w:rsid w:val="00CA77CF"/>
    <w:rsid w:val="00CB1F63"/>
    <w:rsid w:val="00CB3699"/>
    <w:rsid w:val="00CB5C17"/>
    <w:rsid w:val="00CB7170"/>
    <w:rsid w:val="00CC040E"/>
    <w:rsid w:val="00CC111F"/>
    <w:rsid w:val="00CC2011"/>
    <w:rsid w:val="00CC3EA0"/>
    <w:rsid w:val="00CC7B45"/>
    <w:rsid w:val="00CD1188"/>
    <w:rsid w:val="00CD1468"/>
    <w:rsid w:val="00CD2ED1"/>
    <w:rsid w:val="00CD337B"/>
    <w:rsid w:val="00CD3F6E"/>
    <w:rsid w:val="00CD6EB6"/>
    <w:rsid w:val="00CD7B07"/>
    <w:rsid w:val="00CE0424"/>
    <w:rsid w:val="00CE0C96"/>
    <w:rsid w:val="00CE2708"/>
    <w:rsid w:val="00CE5705"/>
    <w:rsid w:val="00CE5E8E"/>
    <w:rsid w:val="00CE6894"/>
    <w:rsid w:val="00CE7561"/>
    <w:rsid w:val="00CF0078"/>
    <w:rsid w:val="00CF1354"/>
    <w:rsid w:val="00CF3B1F"/>
    <w:rsid w:val="00CF3BF6"/>
    <w:rsid w:val="00CF625B"/>
    <w:rsid w:val="00CF687E"/>
    <w:rsid w:val="00D003F1"/>
    <w:rsid w:val="00D00AE7"/>
    <w:rsid w:val="00D01957"/>
    <w:rsid w:val="00D01C73"/>
    <w:rsid w:val="00D0349B"/>
    <w:rsid w:val="00D10249"/>
    <w:rsid w:val="00D115C3"/>
    <w:rsid w:val="00D11897"/>
    <w:rsid w:val="00D11C0E"/>
    <w:rsid w:val="00D13135"/>
    <w:rsid w:val="00D13314"/>
    <w:rsid w:val="00D13E4E"/>
    <w:rsid w:val="00D17994"/>
    <w:rsid w:val="00D239A7"/>
    <w:rsid w:val="00D23F47"/>
    <w:rsid w:val="00D25712"/>
    <w:rsid w:val="00D25792"/>
    <w:rsid w:val="00D30F21"/>
    <w:rsid w:val="00D32A9B"/>
    <w:rsid w:val="00D36E71"/>
    <w:rsid w:val="00D3710F"/>
    <w:rsid w:val="00D37D87"/>
    <w:rsid w:val="00D40B33"/>
    <w:rsid w:val="00D4318F"/>
    <w:rsid w:val="00D438BF"/>
    <w:rsid w:val="00D440F8"/>
    <w:rsid w:val="00D464DF"/>
    <w:rsid w:val="00D546FF"/>
    <w:rsid w:val="00D55AD5"/>
    <w:rsid w:val="00D576CA"/>
    <w:rsid w:val="00D61AF5"/>
    <w:rsid w:val="00D61D23"/>
    <w:rsid w:val="00D652B5"/>
    <w:rsid w:val="00D66155"/>
    <w:rsid w:val="00D708B0"/>
    <w:rsid w:val="00D71619"/>
    <w:rsid w:val="00D77B1D"/>
    <w:rsid w:val="00D8021F"/>
    <w:rsid w:val="00D80383"/>
    <w:rsid w:val="00D8076C"/>
    <w:rsid w:val="00D80AC8"/>
    <w:rsid w:val="00D823C6"/>
    <w:rsid w:val="00D86CA3"/>
    <w:rsid w:val="00D871CE"/>
    <w:rsid w:val="00D87CB9"/>
    <w:rsid w:val="00D9024D"/>
    <w:rsid w:val="00D9196D"/>
    <w:rsid w:val="00D92982"/>
    <w:rsid w:val="00D93C2E"/>
    <w:rsid w:val="00D95DF5"/>
    <w:rsid w:val="00D9726F"/>
    <w:rsid w:val="00DA0DCC"/>
    <w:rsid w:val="00DA305E"/>
    <w:rsid w:val="00DA5417"/>
    <w:rsid w:val="00DA56E8"/>
    <w:rsid w:val="00DA588D"/>
    <w:rsid w:val="00DA61B6"/>
    <w:rsid w:val="00DB0A9F"/>
    <w:rsid w:val="00DB377D"/>
    <w:rsid w:val="00DC1C50"/>
    <w:rsid w:val="00DC2D36"/>
    <w:rsid w:val="00DC53EF"/>
    <w:rsid w:val="00DC5477"/>
    <w:rsid w:val="00DD095B"/>
    <w:rsid w:val="00DD6051"/>
    <w:rsid w:val="00DD6BE3"/>
    <w:rsid w:val="00DD6CA7"/>
    <w:rsid w:val="00DD766F"/>
    <w:rsid w:val="00DE5608"/>
    <w:rsid w:val="00DE58D0"/>
    <w:rsid w:val="00DE654F"/>
    <w:rsid w:val="00DF0B6E"/>
    <w:rsid w:val="00DF15E0"/>
    <w:rsid w:val="00DF175C"/>
    <w:rsid w:val="00DF1826"/>
    <w:rsid w:val="00DF37A0"/>
    <w:rsid w:val="00DF58FF"/>
    <w:rsid w:val="00DF7229"/>
    <w:rsid w:val="00DF7392"/>
    <w:rsid w:val="00E000CE"/>
    <w:rsid w:val="00E00600"/>
    <w:rsid w:val="00E00660"/>
    <w:rsid w:val="00E00BE1"/>
    <w:rsid w:val="00E06570"/>
    <w:rsid w:val="00E07842"/>
    <w:rsid w:val="00E110E7"/>
    <w:rsid w:val="00E11B20"/>
    <w:rsid w:val="00E12BA4"/>
    <w:rsid w:val="00E14781"/>
    <w:rsid w:val="00E14C07"/>
    <w:rsid w:val="00E17C35"/>
    <w:rsid w:val="00E17FA2"/>
    <w:rsid w:val="00E20027"/>
    <w:rsid w:val="00E22330"/>
    <w:rsid w:val="00E233B2"/>
    <w:rsid w:val="00E262FD"/>
    <w:rsid w:val="00E2740D"/>
    <w:rsid w:val="00E30B5A"/>
    <w:rsid w:val="00E3123D"/>
    <w:rsid w:val="00E313EE"/>
    <w:rsid w:val="00E31461"/>
    <w:rsid w:val="00E31D43"/>
    <w:rsid w:val="00E32608"/>
    <w:rsid w:val="00E34188"/>
    <w:rsid w:val="00E34B6E"/>
    <w:rsid w:val="00E35559"/>
    <w:rsid w:val="00E3723A"/>
    <w:rsid w:val="00E37860"/>
    <w:rsid w:val="00E401E7"/>
    <w:rsid w:val="00E446F1"/>
    <w:rsid w:val="00E46886"/>
    <w:rsid w:val="00E47AEF"/>
    <w:rsid w:val="00E52A05"/>
    <w:rsid w:val="00E53B75"/>
    <w:rsid w:val="00E54E3B"/>
    <w:rsid w:val="00E57565"/>
    <w:rsid w:val="00E63838"/>
    <w:rsid w:val="00E63D04"/>
    <w:rsid w:val="00E64434"/>
    <w:rsid w:val="00E66C38"/>
    <w:rsid w:val="00E679C0"/>
    <w:rsid w:val="00E67C51"/>
    <w:rsid w:val="00E7280F"/>
    <w:rsid w:val="00E72EFC"/>
    <w:rsid w:val="00E7489C"/>
    <w:rsid w:val="00E758EC"/>
    <w:rsid w:val="00E76569"/>
    <w:rsid w:val="00E76E1C"/>
    <w:rsid w:val="00E80500"/>
    <w:rsid w:val="00E80E2C"/>
    <w:rsid w:val="00E8234C"/>
    <w:rsid w:val="00E83AA9"/>
    <w:rsid w:val="00E85928"/>
    <w:rsid w:val="00E8622D"/>
    <w:rsid w:val="00E87822"/>
    <w:rsid w:val="00E90395"/>
    <w:rsid w:val="00E90396"/>
    <w:rsid w:val="00E90E49"/>
    <w:rsid w:val="00E917F9"/>
    <w:rsid w:val="00E9291C"/>
    <w:rsid w:val="00E93FFE"/>
    <w:rsid w:val="00E94E99"/>
    <w:rsid w:val="00E94F8A"/>
    <w:rsid w:val="00E951EC"/>
    <w:rsid w:val="00E95212"/>
    <w:rsid w:val="00E9752B"/>
    <w:rsid w:val="00EA0AE8"/>
    <w:rsid w:val="00EA1A7C"/>
    <w:rsid w:val="00EA4EB6"/>
    <w:rsid w:val="00EA7A41"/>
    <w:rsid w:val="00EB031C"/>
    <w:rsid w:val="00EB077B"/>
    <w:rsid w:val="00EB4EA2"/>
    <w:rsid w:val="00EC0838"/>
    <w:rsid w:val="00EC27C6"/>
    <w:rsid w:val="00EC4207"/>
    <w:rsid w:val="00EC5653"/>
    <w:rsid w:val="00EC71CE"/>
    <w:rsid w:val="00ED1006"/>
    <w:rsid w:val="00ED2AAD"/>
    <w:rsid w:val="00EE2396"/>
    <w:rsid w:val="00EF18FE"/>
    <w:rsid w:val="00EF3C81"/>
    <w:rsid w:val="00EF4221"/>
    <w:rsid w:val="00EF4C30"/>
    <w:rsid w:val="00EF5787"/>
    <w:rsid w:val="00EF60D0"/>
    <w:rsid w:val="00F03BFE"/>
    <w:rsid w:val="00F0528D"/>
    <w:rsid w:val="00F06C67"/>
    <w:rsid w:val="00F06DFD"/>
    <w:rsid w:val="00F071D1"/>
    <w:rsid w:val="00F07533"/>
    <w:rsid w:val="00F102DE"/>
    <w:rsid w:val="00F10595"/>
    <w:rsid w:val="00F10629"/>
    <w:rsid w:val="00F15FA5"/>
    <w:rsid w:val="00F16310"/>
    <w:rsid w:val="00F20021"/>
    <w:rsid w:val="00F209B7"/>
    <w:rsid w:val="00F220C8"/>
    <w:rsid w:val="00F2376F"/>
    <w:rsid w:val="00F243D8"/>
    <w:rsid w:val="00F27740"/>
    <w:rsid w:val="00F27EEC"/>
    <w:rsid w:val="00F30828"/>
    <w:rsid w:val="00F313D6"/>
    <w:rsid w:val="00F3410C"/>
    <w:rsid w:val="00F34CD8"/>
    <w:rsid w:val="00F35CA9"/>
    <w:rsid w:val="00F36E17"/>
    <w:rsid w:val="00F40343"/>
    <w:rsid w:val="00F40F0C"/>
    <w:rsid w:val="00F42239"/>
    <w:rsid w:val="00F4766C"/>
    <w:rsid w:val="00F50548"/>
    <w:rsid w:val="00F507D1"/>
    <w:rsid w:val="00F5080D"/>
    <w:rsid w:val="00F519CE"/>
    <w:rsid w:val="00F51ADA"/>
    <w:rsid w:val="00F52664"/>
    <w:rsid w:val="00F552E5"/>
    <w:rsid w:val="00F56091"/>
    <w:rsid w:val="00F607C5"/>
    <w:rsid w:val="00F60DEA"/>
    <w:rsid w:val="00F6302A"/>
    <w:rsid w:val="00F63095"/>
    <w:rsid w:val="00F64C2B"/>
    <w:rsid w:val="00F651BE"/>
    <w:rsid w:val="00F6582E"/>
    <w:rsid w:val="00F65CA5"/>
    <w:rsid w:val="00F65F65"/>
    <w:rsid w:val="00F67F53"/>
    <w:rsid w:val="00F703BE"/>
    <w:rsid w:val="00F70E9D"/>
    <w:rsid w:val="00F71F69"/>
    <w:rsid w:val="00F72B72"/>
    <w:rsid w:val="00F74BB9"/>
    <w:rsid w:val="00F75582"/>
    <w:rsid w:val="00F76EFA"/>
    <w:rsid w:val="00F77277"/>
    <w:rsid w:val="00F778C7"/>
    <w:rsid w:val="00F8033E"/>
    <w:rsid w:val="00F804BE"/>
    <w:rsid w:val="00F81447"/>
    <w:rsid w:val="00F817CE"/>
    <w:rsid w:val="00F81AF6"/>
    <w:rsid w:val="00F8456C"/>
    <w:rsid w:val="00F848DD"/>
    <w:rsid w:val="00F84D71"/>
    <w:rsid w:val="00F859D8"/>
    <w:rsid w:val="00F85CDA"/>
    <w:rsid w:val="00F868F5"/>
    <w:rsid w:val="00F87AB5"/>
    <w:rsid w:val="00F9056A"/>
    <w:rsid w:val="00F90A97"/>
    <w:rsid w:val="00F90AC0"/>
    <w:rsid w:val="00F90C23"/>
    <w:rsid w:val="00F90F8D"/>
    <w:rsid w:val="00F925BA"/>
    <w:rsid w:val="00F92782"/>
    <w:rsid w:val="00F93A82"/>
    <w:rsid w:val="00F93AA9"/>
    <w:rsid w:val="00F96985"/>
    <w:rsid w:val="00F974D0"/>
    <w:rsid w:val="00F97838"/>
    <w:rsid w:val="00FA28DE"/>
    <w:rsid w:val="00FA2BB3"/>
    <w:rsid w:val="00FB01A3"/>
    <w:rsid w:val="00FB216B"/>
    <w:rsid w:val="00FB3B05"/>
    <w:rsid w:val="00FB4C80"/>
    <w:rsid w:val="00FB5002"/>
    <w:rsid w:val="00FB52D1"/>
    <w:rsid w:val="00FB6A6A"/>
    <w:rsid w:val="00FC4E33"/>
    <w:rsid w:val="00FC7429"/>
    <w:rsid w:val="00FD07F6"/>
    <w:rsid w:val="00FD0EE5"/>
    <w:rsid w:val="00FD15DB"/>
    <w:rsid w:val="00FD1EC8"/>
    <w:rsid w:val="00FD2354"/>
    <w:rsid w:val="00FD47ED"/>
    <w:rsid w:val="00FD74DB"/>
    <w:rsid w:val="00FD7660"/>
    <w:rsid w:val="00FE0655"/>
    <w:rsid w:val="00FE1D6D"/>
    <w:rsid w:val="00FE2365"/>
    <w:rsid w:val="00FE2ABC"/>
    <w:rsid w:val="00FE2CC1"/>
    <w:rsid w:val="00FE4C7B"/>
    <w:rsid w:val="00FE7336"/>
    <w:rsid w:val="00FE787C"/>
    <w:rsid w:val="00FF0DC8"/>
    <w:rsid w:val="00FF2493"/>
    <w:rsid w:val="00FF44FC"/>
    <w:rsid w:val="00FF45A5"/>
    <w:rsid w:val="00FF5C91"/>
    <w:rsid w:val="00FF666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link w:val="ListParagraphChar"/>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 w:type="paragraph" w:styleId="NormalWeb">
    <w:name w:val="Normal (Web)"/>
    <w:basedOn w:val="Normal"/>
    <w:uiPriority w:val="99"/>
    <w:unhideWhenUsed/>
    <w:rsid w:val="00A5462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CA"/>
    </w:rPr>
  </w:style>
  <w:style w:type="character" w:customStyle="1" w:styleId="CommentTextChar1">
    <w:name w:val="Comment Text Char1"/>
    <w:uiPriority w:val="99"/>
    <w:semiHidden/>
    <w:locked/>
    <w:rsid w:val="002F5CC2"/>
  </w:style>
  <w:style w:type="character" w:customStyle="1" w:styleId="apple-converted-space">
    <w:name w:val="apple-converted-space"/>
    <w:rsid w:val="00E76569"/>
  </w:style>
  <w:style w:type="character" w:customStyle="1" w:styleId="THChar">
    <w:name w:val="TH Char"/>
    <w:link w:val="TH"/>
    <w:rsid w:val="007C7B6C"/>
    <w:rPr>
      <w:rFonts w:ascii="Arial" w:hAnsi="Arial"/>
      <w:b/>
      <w:lang w:val="en-GB"/>
    </w:rPr>
  </w:style>
  <w:style w:type="character" w:customStyle="1" w:styleId="ListParagraphChar">
    <w:name w:val="List Paragraph Char"/>
    <w:link w:val="ListParagraph"/>
    <w:uiPriority w:val="34"/>
    <w:locked/>
    <w:rsid w:val="00582F5F"/>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uiPriority w:val="99"/>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link w:val="ListParagraphChar"/>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1745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174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31745A"/>
    <w:rPr>
      <w:rFonts w:ascii="Arial" w:hAnsi="Arial"/>
      <w:spacing w:val="2"/>
    </w:rPr>
  </w:style>
  <w:style w:type="paragraph" w:styleId="NormalWeb">
    <w:name w:val="Normal (Web)"/>
    <w:basedOn w:val="Normal"/>
    <w:uiPriority w:val="99"/>
    <w:unhideWhenUsed/>
    <w:rsid w:val="00A5462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CA"/>
    </w:rPr>
  </w:style>
  <w:style w:type="character" w:customStyle="1" w:styleId="CommentTextChar1">
    <w:name w:val="Comment Text Char1"/>
    <w:uiPriority w:val="99"/>
    <w:semiHidden/>
    <w:locked/>
    <w:rsid w:val="002F5CC2"/>
  </w:style>
  <w:style w:type="character" w:customStyle="1" w:styleId="apple-converted-space">
    <w:name w:val="apple-converted-space"/>
    <w:rsid w:val="00E76569"/>
  </w:style>
  <w:style w:type="character" w:customStyle="1" w:styleId="THChar">
    <w:name w:val="TH Char"/>
    <w:link w:val="TH"/>
    <w:rsid w:val="007C7B6C"/>
    <w:rPr>
      <w:rFonts w:ascii="Arial" w:hAnsi="Arial"/>
      <w:b/>
      <w:lang w:val="en-GB"/>
    </w:rPr>
  </w:style>
  <w:style w:type="character" w:customStyle="1" w:styleId="ListParagraphChar">
    <w:name w:val="List Paragraph Char"/>
    <w:link w:val="ListParagraph"/>
    <w:uiPriority w:val="34"/>
    <w:locked/>
    <w:rsid w:val="00582F5F"/>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46035">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40587203">
      <w:bodyDiv w:val="1"/>
      <w:marLeft w:val="0"/>
      <w:marRight w:val="0"/>
      <w:marTop w:val="0"/>
      <w:marBottom w:val="0"/>
      <w:divBdr>
        <w:top w:val="none" w:sz="0" w:space="0" w:color="auto"/>
        <w:left w:val="none" w:sz="0" w:space="0" w:color="auto"/>
        <w:bottom w:val="none" w:sz="0" w:space="0" w:color="auto"/>
        <w:right w:val="none" w:sz="0" w:space="0" w:color="auto"/>
      </w:divBdr>
    </w:div>
    <w:div w:id="1020164176">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339313007">
      <w:bodyDiv w:val="1"/>
      <w:marLeft w:val="0"/>
      <w:marRight w:val="0"/>
      <w:marTop w:val="0"/>
      <w:marBottom w:val="0"/>
      <w:divBdr>
        <w:top w:val="none" w:sz="0" w:space="0" w:color="auto"/>
        <w:left w:val="none" w:sz="0" w:space="0" w:color="auto"/>
        <w:bottom w:val="none" w:sz="0" w:space="0" w:color="auto"/>
        <w:right w:val="none" w:sz="0" w:space="0" w:color="auto"/>
      </w:divBdr>
    </w:div>
    <w:div w:id="1524125908">
      <w:bodyDiv w:val="1"/>
      <w:marLeft w:val="0"/>
      <w:marRight w:val="0"/>
      <w:marTop w:val="0"/>
      <w:marBottom w:val="0"/>
      <w:divBdr>
        <w:top w:val="none" w:sz="0" w:space="0" w:color="auto"/>
        <w:left w:val="none" w:sz="0" w:space="0" w:color="auto"/>
        <w:bottom w:val="none" w:sz="0" w:space="0" w:color="auto"/>
        <w:right w:val="none" w:sz="0" w:space="0" w:color="auto"/>
      </w:divBdr>
      <w:divsChild>
        <w:div w:id="32079736">
          <w:marLeft w:val="547"/>
          <w:marRight w:val="0"/>
          <w:marTop w:val="0"/>
          <w:marBottom w:val="0"/>
          <w:divBdr>
            <w:top w:val="none" w:sz="0" w:space="0" w:color="auto"/>
            <w:left w:val="none" w:sz="0" w:space="0" w:color="auto"/>
            <w:bottom w:val="none" w:sz="0" w:space="0" w:color="auto"/>
            <w:right w:val="none" w:sz="0" w:space="0" w:color="auto"/>
          </w:divBdr>
        </w:div>
        <w:div w:id="375280175">
          <w:marLeft w:val="1166"/>
          <w:marRight w:val="0"/>
          <w:marTop w:val="0"/>
          <w:marBottom w:val="0"/>
          <w:divBdr>
            <w:top w:val="none" w:sz="0" w:space="0" w:color="auto"/>
            <w:left w:val="none" w:sz="0" w:space="0" w:color="auto"/>
            <w:bottom w:val="none" w:sz="0" w:space="0" w:color="auto"/>
            <w:right w:val="none" w:sz="0" w:space="0" w:color="auto"/>
          </w:divBdr>
        </w:div>
        <w:div w:id="1058700909">
          <w:marLeft w:val="1166"/>
          <w:marRight w:val="0"/>
          <w:marTop w:val="0"/>
          <w:marBottom w:val="0"/>
          <w:divBdr>
            <w:top w:val="none" w:sz="0" w:space="0" w:color="auto"/>
            <w:left w:val="none" w:sz="0" w:space="0" w:color="auto"/>
            <w:bottom w:val="none" w:sz="0" w:space="0" w:color="auto"/>
            <w:right w:val="none" w:sz="0" w:space="0" w:color="auto"/>
          </w:divBdr>
        </w:div>
        <w:div w:id="1442452436">
          <w:marLeft w:val="1166"/>
          <w:marRight w:val="0"/>
          <w:marTop w:val="0"/>
          <w:marBottom w:val="0"/>
          <w:divBdr>
            <w:top w:val="none" w:sz="0" w:space="0" w:color="auto"/>
            <w:left w:val="none" w:sz="0" w:space="0" w:color="auto"/>
            <w:bottom w:val="none" w:sz="0" w:space="0" w:color="auto"/>
            <w:right w:val="none" w:sz="0" w:space="0" w:color="auto"/>
          </w:divBdr>
        </w:div>
      </w:divsChild>
    </w:div>
    <w:div w:id="1612124884">
      <w:bodyDiv w:val="1"/>
      <w:marLeft w:val="0"/>
      <w:marRight w:val="0"/>
      <w:marTop w:val="0"/>
      <w:marBottom w:val="0"/>
      <w:divBdr>
        <w:top w:val="none" w:sz="0" w:space="0" w:color="auto"/>
        <w:left w:val="none" w:sz="0" w:space="0" w:color="auto"/>
        <w:bottom w:val="none" w:sz="0" w:space="0" w:color="auto"/>
        <w:right w:val="none" w:sz="0" w:space="0" w:color="auto"/>
      </w:divBdr>
    </w:div>
    <w:div w:id="1668244202">
      <w:bodyDiv w:val="1"/>
      <w:marLeft w:val="0"/>
      <w:marRight w:val="0"/>
      <w:marTop w:val="0"/>
      <w:marBottom w:val="0"/>
      <w:divBdr>
        <w:top w:val="none" w:sz="0" w:space="0" w:color="auto"/>
        <w:left w:val="none" w:sz="0" w:space="0" w:color="auto"/>
        <w:bottom w:val="none" w:sz="0" w:space="0" w:color="auto"/>
        <w:right w:val="none" w:sz="0" w:space="0" w:color="auto"/>
      </w:divBdr>
    </w:div>
    <w:div w:id="1809742655">
      <w:bodyDiv w:val="1"/>
      <w:marLeft w:val="0"/>
      <w:marRight w:val="0"/>
      <w:marTop w:val="0"/>
      <w:marBottom w:val="0"/>
      <w:divBdr>
        <w:top w:val="none" w:sz="0" w:space="0" w:color="auto"/>
        <w:left w:val="none" w:sz="0" w:space="0" w:color="auto"/>
        <w:bottom w:val="none" w:sz="0" w:space="0" w:color="auto"/>
        <w:right w:val="none" w:sz="0" w:space="0" w:color="auto"/>
      </w:divBdr>
    </w:div>
    <w:div w:id="1903825632">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EEC42-F637-4BCB-B563-4BAE4F189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7</Pages>
  <Words>3010</Words>
  <Characters>17162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2008-01-31T07:09:00Z</cp:lastPrinted>
  <dcterms:created xsi:type="dcterms:W3CDTF">2016-05-14T05:35:00Z</dcterms:created>
  <dcterms:modified xsi:type="dcterms:W3CDTF">2016-05-14T05:36:00Z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