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1E2" w:rsidRPr="004F7D4C" w:rsidRDefault="007561E2" w:rsidP="007561E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#81                                                                                      R1-15</w:t>
      </w:r>
      <w:r w:rsidR="001557F0">
        <w:rPr>
          <w:rFonts w:ascii="Arial" w:eastAsia="Times New Roman" w:hAnsi="Arial" w:cs="Arial"/>
          <w:b/>
          <w:bCs/>
          <w:noProof/>
          <w:szCs w:val="18"/>
          <w:lang w:eastAsia="zh-CN"/>
        </w:rPr>
        <w:t>3071</w:t>
      </w:r>
      <w:bookmarkStart w:id="2" w:name="_GoBack"/>
      <w:bookmarkEnd w:id="2"/>
    </w:p>
    <w:p w:rsidR="007561E2" w:rsidRDefault="007561E2" w:rsidP="007561E2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3B5FD2">
        <w:rPr>
          <w:rFonts w:eastAsia="Times New Roman" w:cs="Arial"/>
          <w:bCs/>
          <w:noProof/>
          <w:sz w:val="20"/>
          <w:szCs w:val="18"/>
          <w:lang w:val="en-US" w:eastAsia="zh-CN"/>
        </w:rPr>
        <w:t>Fukuoka, Japan, 25th - 29th May 2015</w:t>
      </w:r>
    </w:p>
    <w:p w:rsidR="00D1140C" w:rsidRDefault="00D1140C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637CE4">
        <w:rPr>
          <w:sz w:val="20"/>
          <w:lang w:val="en-US"/>
        </w:rPr>
        <w:t>C</w:t>
      </w:r>
      <w:r w:rsidR="00D31D2F" w:rsidRPr="0082726C">
        <w:rPr>
          <w:sz w:val="20"/>
          <w:lang w:val="en-US"/>
        </w:rPr>
        <w:t xml:space="preserve">arrier </w:t>
      </w:r>
      <w:r w:rsidR="00637CE4">
        <w:rPr>
          <w:sz w:val="20"/>
          <w:lang w:val="en-US"/>
        </w:rPr>
        <w:t>S</w:t>
      </w:r>
      <w:r w:rsidR="00D31D2F" w:rsidRPr="0082726C">
        <w:rPr>
          <w:sz w:val="20"/>
          <w:lang w:val="en-US"/>
        </w:rPr>
        <w:t>elect</w:t>
      </w:r>
      <w:r w:rsidR="00881BF6">
        <w:rPr>
          <w:sz w:val="20"/>
          <w:lang w:val="en-US"/>
        </w:rPr>
        <w:t>i</w:t>
      </w:r>
      <w:r w:rsidR="00D31D2F" w:rsidRPr="0082726C">
        <w:rPr>
          <w:sz w:val="20"/>
          <w:lang w:val="en-US"/>
        </w:rPr>
        <w:t>on</w:t>
      </w:r>
      <w:r w:rsidR="00881BF6">
        <w:rPr>
          <w:sz w:val="20"/>
          <w:lang w:val="en-US"/>
        </w:rPr>
        <w:t xml:space="preserve"> for CA enhancement</w:t>
      </w:r>
    </w:p>
    <w:p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7561E2">
        <w:rPr>
          <w:sz w:val="20"/>
          <w:lang w:val="en-US"/>
        </w:rPr>
        <w:t>6</w:t>
      </w:r>
      <w:r w:rsidR="004919BC">
        <w:rPr>
          <w:sz w:val="20"/>
          <w:lang w:val="en-US"/>
        </w:rPr>
        <w:t>.2.</w:t>
      </w:r>
      <w:r w:rsidR="002E5646">
        <w:rPr>
          <w:sz w:val="20"/>
          <w:lang w:val="en-US"/>
        </w:rPr>
        <w:t>2.2</w:t>
      </w:r>
      <w:r w:rsidR="00067B79">
        <w:rPr>
          <w:sz w:val="20"/>
          <w:lang w:val="en-US"/>
        </w:rPr>
        <w:t>.3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E71A58" w:rsidRDefault="004919BC" w:rsidP="00685DE3">
      <w:r>
        <w:t xml:space="preserve">A new WI was agreed at RAN #66 plenary meeting to support LTE carrier aggregation beyond 5 carriers </w:t>
      </w:r>
      <w:r>
        <w:fldChar w:fldCharType="begin"/>
      </w:r>
      <w:r>
        <w:instrText xml:space="preserve"> REF _Ref416180221 \r \h </w:instrText>
      </w:r>
      <w:r>
        <w:fldChar w:fldCharType="separate"/>
      </w:r>
      <w:r>
        <w:t>[1]</w:t>
      </w:r>
      <w:r>
        <w:fldChar w:fldCharType="end"/>
      </w:r>
      <w:r>
        <w:rPr>
          <w:iCs/>
        </w:rPr>
        <w:t xml:space="preserve">. </w:t>
      </w:r>
      <w:r w:rsidR="002E0D8A">
        <w:rPr>
          <w:iCs/>
        </w:rPr>
        <w:t xml:space="preserve">One objective of </w:t>
      </w:r>
      <w:r w:rsidR="00113D5D">
        <w:rPr>
          <w:iCs/>
        </w:rPr>
        <w:t>the</w:t>
      </w:r>
      <w:r w:rsidR="002E0D8A">
        <w:rPr>
          <w:iCs/>
        </w:rPr>
        <w:t xml:space="preserve"> WI is to support carrier aggregation up to 32 carriers</w:t>
      </w:r>
      <w:r w:rsidR="00327822">
        <w:rPr>
          <w:iCs/>
        </w:rPr>
        <w:t xml:space="preserve">, where LAA is the main use case with large number of carriers </w:t>
      </w:r>
      <w:r w:rsidR="007561E2">
        <w:rPr>
          <w:iCs/>
        </w:rPr>
        <w:t xml:space="preserve">in </w:t>
      </w:r>
      <w:r w:rsidR="00327822">
        <w:rPr>
          <w:iCs/>
        </w:rPr>
        <w:t>unlicensed spectrum</w:t>
      </w:r>
      <w:r w:rsidR="002E0D8A">
        <w:rPr>
          <w:iCs/>
        </w:rPr>
        <w:t xml:space="preserve">. </w:t>
      </w:r>
      <w:r w:rsidR="00E71A58">
        <w:rPr>
          <w:iCs/>
        </w:rPr>
        <w:t xml:space="preserve">In this contribution, </w:t>
      </w:r>
      <w:r w:rsidR="002E0D8A">
        <w:rPr>
          <w:iCs/>
        </w:rPr>
        <w:t>we</w:t>
      </w:r>
      <w:r w:rsidR="00E71A58">
        <w:rPr>
          <w:iCs/>
        </w:rPr>
        <w:t xml:space="preserve"> </w:t>
      </w:r>
      <w:r w:rsidR="003E6AE4">
        <w:rPr>
          <w:iCs/>
        </w:rPr>
        <w:t xml:space="preserve">discuss </w:t>
      </w:r>
      <w:r w:rsidR="00327822">
        <w:rPr>
          <w:iCs/>
        </w:rPr>
        <w:t xml:space="preserve">our view on </w:t>
      </w:r>
      <w:r w:rsidR="00D31D2F">
        <w:rPr>
          <w:iCs/>
        </w:rPr>
        <w:t xml:space="preserve">carrier selection for </w:t>
      </w:r>
      <w:r w:rsidR="00D21E3B">
        <w:rPr>
          <w:iCs/>
        </w:rPr>
        <w:t>CA enhanceme</w:t>
      </w:r>
      <w:r w:rsidR="002E0D8A">
        <w:rPr>
          <w:iCs/>
        </w:rPr>
        <w:t>nts</w:t>
      </w:r>
      <w:r w:rsidR="00327822">
        <w:rPr>
          <w:iCs/>
        </w:rPr>
        <w:t xml:space="preserve"> for up to 32 carriers</w:t>
      </w:r>
      <w:r w:rsidR="00006F31">
        <w:t>.</w:t>
      </w:r>
    </w:p>
    <w:p w:rsidR="00113D5D" w:rsidRDefault="00070520" w:rsidP="00113D5D">
      <w:pPr>
        <w:pStyle w:val="Heading1"/>
      </w:pPr>
      <w:r>
        <w:t>D</w:t>
      </w:r>
      <w:r w:rsidR="00436735">
        <w:t>iscussion</w:t>
      </w:r>
    </w:p>
    <w:p w:rsidR="002B1166" w:rsidRDefault="00DF5805" w:rsidP="00D52938">
      <w:r>
        <w:t>For carrier aggregation enhancements supporting up to 32 carriers, t</w:t>
      </w:r>
      <w:r w:rsidR="003D3535">
        <w:t>here</w:t>
      </w:r>
      <w:r>
        <w:t xml:space="preserve"> has been</w:t>
      </w:r>
      <w:r w:rsidR="007E62E5">
        <w:t xml:space="preserve"> </w:t>
      </w:r>
      <w:r w:rsidR="00372186">
        <w:t xml:space="preserve">some discussions on carrier selection at RAN1#80 meeting. </w:t>
      </w:r>
      <w:r w:rsidR="002B1166">
        <w:t>There are two aspect</w:t>
      </w:r>
      <w:r w:rsidR="00E4066C">
        <w:t>s</w:t>
      </w:r>
      <w:r w:rsidR="002B1166">
        <w:t xml:space="preserve"> of carrier selection. The first aspect is to support carrier selection for </w:t>
      </w:r>
      <w:proofErr w:type="spellStart"/>
      <w:r w:rsidR="007561E2">
        <w:t>eNBs</w:t>
      </w:r>
      <w:proofErr w:type="spellEnd"/>
      <w:r w:rsidR="007561E2">
        <w:t xml:space="preserve"> </w:t>
      </w:r>
      <w:r w:rsidR="002B1166">
        <w:t xml:space="preserve">and the second aspect is to support carrier selection for </w:t>
      </w:r>
      <w:r w:rsidR="007561E2">
        <w:t>UE</w:t>
      </w:r>
      <w:r w:rsidR="002B1166">
        <w:t xml:space="preserve">s. The support and purpose of the two are different and hence the </w:t>
      </w:r>
      <w:r w:rsidR="005E7E97">
        <w:t>discussion needs</w:t>
      </w:r>
      <w:r w:rsidR="002B1166">
        <w:t xml:space="preserve"> to consider both </w:t>
      </w:r>
      <w:r w:rsidR="007561E2">
        <w:t xml:space="preserve">aspects </w:t>
      </w:r>
      <w:r w:rsidR="002B1166">
        <w:t>individually.</w:t>
      </w:r>
    </w:p>
    <w:p w:rsidR="002B1166" w:rsidRDefault="002B1166" w:rsidP="00D52938">
      <w:r>
        <w:t xml:space="preserve">We start here to discuss support of carrier selection for </w:t>
      </w:r>
      <w:proofErr w:type="spellStart"/>
      <w:r>
        <w:t>eNBs</w:t>
      </w:r>
      <w:proofErr w:type="spellEnd"/>
      <w:r>
        <w:t>. It is important here to make a differen</w:t>
      </w:r>
      <w:r w:rsidR="002E0363">
        <w:t>ce</w:t>
      </w:r>
      <w:r>
        <w:t xml:space="preserve"> further on if the </w:t>
      </w:r>
      <w:proofErr w:type="spellStart"/>
      <w:r>
        <w:t>eNB</w:t>
      </w:r>
      <w:proofErr w:type="spellEnd"/>
      <w:r>
        <w:t xml:space="preserve"> is operating on carriers in licensed or unlicensed spectrum. We assume that if the </w:t>
      </w:r>
      <w:proofErr w:type="spellStart"/>
      <w:r>
        <w:t>eNB</w:t>
      </w:r>
      <w:proofErr w:type="spellEnd"/>
      <w:r>
        <w:t xml:space="preserve"> is operating carriers in the licensed spectrum it is an operator choice to select which carriers to operate on which is an </w:t>
      </w:r>
      <w:proofErr w:type="spellStart"/>
      <w:r>
        <w:t>eNB</w:t>
      </w:r>
      <w:proofErr w:type="spellEnd"/>
      <w:r>
        <w:t xml:space="preserve"> implementation choice and deployment choice. It is a different issue however if the </w:t>
      </w:r>
      <w:proofErr w:type="spellStart"/>
      <w:r>
        <w:t>eNB</w:t>
      </w:r>
      <w:proofErr w:type="spellEnd"/>
      <w:r>
        <w:t xml:space="preserve"> is operating carriers in the unlicensed spectrum that is further analysed here considering LAA. </w:t>
      </w:r>
    </w:p>
    <w:p w:rsidR="002B1166" w:rsidRDefault="002B1166" w:rsidP="00D52938">
      <w:r>
        <w:t>In LAA, t</w:t>
      </w:r>
      <w:r w:rsidRPr="00F41AA6">
        <w:t xml:space="preserve">he </w:t>
      </w:r>
      <w:r>
        <w:t xml:space="preserve">basic principle behind carrier selection is for the </w:t>
      </w:r>
      <w:proofErr w:type="spellStart"/>
      <w:r w:rsidRPr="00F41AA6">
        <w:t>eNB</w:t>
      </w:r>
      <w:proofErr w:type="spellEnd"/>
      <w:r w:rsidRPr="00F41AA6">
        <w:t xml:space="preserve"> </w:t>
      </w:r>
      <w:r>
        <w:t>to</w:t>
      </w:r>
      <w:r w:rsidRPr="00F41AA6">
        <w:t xml:space="preserve"> scan and sense channels for interference or radar detection</w:t>
      </w:r>
      <w:r>
        <w:t>,</w:t>
      </w:r>
      <w:r w:rsidRPr="00F41AA6">
        <w:t xml:space="preserve"> and configure the </w:t>
      </w:r>
      <w:proofErr w:type="spellStart"/>
      <w:r w:rsidRPr="00F41AA6">
        <w:t>SCells</w:t>
      </w:r>
      <w:proofErr w:type="spellEnd"/>
      <w:r w:rsidRPr="00F41AA6">
        <w:t xml:space="preserve"> accordingly based on the outcome of its carrier selection algorithm. </w:t>
      </w:r>
      <w:r>
        <w:t xml:space="preserve">The carrier selection process is separate and most likely on a different time scale from the LBT/CCA procedure prior to transmissions on the </w:t>
      </w:r>
      <w:r w:rsidR="00006168">
        <w:t xml:space="preserve">carriers in </w:t>
      </w:r>
      <w:r>
        <w:t xml:space="preserve">unlicensed </w:t>
      </w:r>
      <w:r w:rsidR="00006168">
        <w:t>spectrum</w:t>
      </w:r>
      <w:r>
        <w:t>. Autonomous, s</w:t>
      </w:r>
      <w:r w:rsidRPr="00FE31EE">
        <w:t xml:space="preserve">emi-static carrier selection can be based on the </w:t>
      </w:r>
      <w:proofErr w:type="spellStart"/>
      <w:r w:rsidRPr="00FE31EE">
        <w:t>eNB</w:t>
      </w:r>
      <w:proofErr w:type="spellEnd"/>
      <w:r w:rsidRPr="00FE31EE">
        <w:t xml:space="preserve"> sensing of the averaged interference level</w:t>
      </w:r>
      <w:r>
        <w:t xml:space="preserve">, potential presence of radar signals if required, and </w:t>
      </w:r>
      <w:r w:rsidRPr="00FE31EE">
        <w:t xml:space="preserve">traffic load </w:t>
      </w:r>
      <w:r>
        <w:t>on</w:t>
      </w:r>
      <w:r w:rsidRPr="00FE31EE">
        <w:t xml:space="preserve"> the </w:t>
      </w:r>
      <w:r>
        <w:t xml:space="preserve">candidate </w:t>
      </w:r>
      <w:r w:rsidRPr="00FE31EE">
        <w:t>carriers</w:t>
      </w:r>
      <w:r>
        <w:t xml:space="preserve"> over a</w:t>
      </w:r>
      <w:r w:rsidRPr="00FE31EE">
        <w:t xml:space="preserve"> relatively longer time scale</w:t>
      </w:r>
      <w:r>
        <w:t xml:space="preserve">. Once a suitable set of carriers is identified, they are configured and activated as </w:t>
      </w:r>
      <w:proofErr w:type="spellStart"/>
      <w:r>
        <w:t>SCells</w:t>
      </w:r>
      <w:proofErr w:type="spellEnd"/>
      <w:r>
        <w:t xml:space="preserve"> for UEs. This process may be repeated periodically over </w:t>
      </w:r>
      <w:r w:rsidRPr="00863E8A">
        <w:t>tens or hundreds of milliseconds in order to keep reassessing the interference environment, and the</w:t>
      </w:r>
      <w:r>
        <w:t xml:space="preserve"> associated measurements do not need any new specifications. Once a set of carriers is activated after the carrier selection process, transmissions can be performed dynamically on one or more of them based on LBT and scheduling decision. </w:t>
      </w:r>
      <w:r w:rsidRPr="00F41AA6">
        <w:t>Therefore</w:t>
      </w:r>
      <w:r>
        <w:t>,</w:t>
      </w:r>
      <w:r w:rsidRPr="00F41AA6">
        <w:t xml:space="preserve"> </w:t>
      </w:r>
      <w:r>
        <w:t xml:space="preserve">semi-static </w:t>
      </w:r>
      <w:r w:rsidRPr="00F41AA6">
        <w:t>carrier selection</w:t>
      </w:r>
      <w:r>
        <w:t xml:space="preserve"> on unlicensed carrier at an individual </w:t>
      </w:r>
      <w:proofErr w:type="spellStart"/>
      <w:r>
        <w:t>eNB</w:t>
      </w:r>
      <w:proofErr w:type="spellEnd"/>
      <w:r w:rsidRPr="00F41AA6">
        <w:t xml:space="preserve"> is perceived as an implementation issue which has no impact on the specification</w:t>
      </w:r>
      <w:r>
        <w:t>.</w:t>
      </w:r>
    </w:p>
    <w:p w:rsidR="00BD4721" w:rsidRPr="00863E8A" w:rsidRDefault="00BD4721" w:rsidP="00BD4721">
      <w:pPr>
        <w:rPr>
          <w:b/>
        </w:rPr>
      </w:pPr>
      <w:r>
        <w:rPr>
          <w:b/>
        </w:rPr>
        <w:t>Observation</w:t>
      </w:r>
      <w:r w:rsidRPr="00863E8A">
        <w:rPr>
          <w:b/>
        </w:rPr>
        <w:t>:</w:t>
      </w:r>
    </w:p>
    <w:p w:rsidR="00BD4721" w:rsidRPr="00863E8A" w:rsidRDefault="00BD4721" w:rsidP="00BD4721">
      <w:pPr>
        <w:numPr>
          <w:ilvl w:val="0"/>
          <w:numId w:val="19"/>
        </w:numPr>
      </w:pPr>
      <w:r>
        <w:t>Current CA framework on licensed carriers with semi-static carrier selection on unlicensed carriers</w:t>
      </w:r>
      <w:r w:rsidRPr="00863E8A">
        <w:t xml:space="preserve"> can be supported without any specification impact.</w:t>
      </w:r>
    </w:p>
    <w:p w:rsidR="00D0523F" w:rsidRDefault="00BD4721" w:rsidP="00BD4721">
      <w:r>
        <w:t>The second aspect is how to support carrier selection for the UE among the set of carrier</w:t>
      </w:r>
      <w:r w:rsidR="00E4066C">
        <w:t>s</w:t>
      </w:r>
      <w:r>
        <w:t xml:space="preserve"> that the </w:t>
      </w:r>
      <w:proofErr w:type="spellStart"/>
      <w:r>
        <w:t>eNB</w:t>
      </w:r>
      <w:proofErr w:type="spellEnd"/>
      <w:r>
        <w:t xml:space="preserve"> has selected. </w:t>
      </w:r>
      <w:r w:rsidR="00D0523F">
        <w:t>Similarly</w:t>
      </w:r>
      <w:r w:rsidR="00006168">
        <w:t>, it is also important</w:t>
      </w:r>
      <w:r w:rsidR="00D0523F">
        <w:t xml:space="preserve"> here</w:t>
      </w:r>
      <w:r w:rsidR="00006168">
        <w:t xml:space="preserve"> to make a difference if the set of carriers are in licensed or unlicensed spectrum. For the carriers in licensed spectrum, it is </w:t>
      </w:r>
      <w:r w:rsidR="00D0523F">
        <w:t xml:space="preserve">up to </w:t>
      </w:r>
      <w:proofErr w:type="spellStart"/>
      <w:r w:rsidR="00006168">
        <w:t>eNB</w:t>
      </w:r>
      <w:proofErr w:type="spellEnd"/>
      <w:r w:rsidR="00006168">
        <w:t xml:space="preserve"> implementation and UE capa</w:t>
      </w:r>
      <w:r w:rsidR="00D0523F">
        <w:t>bility of bandwidth combination following current CA procedure.</w:t>
      </w:r>
      <w:r w:rsidR="00006168">
        <w:t xml:space="preserve"> </w:t>
      </w:r>
      <w:r w:rsidR="00D0523F">
        <w:t xml:space="preserve">For the carriers in unlicensed spectrum, we have further analysis below. </w:t>
      </w:r>
    </w:p>
    <w:p w:rsidR="00F30BB7" w:rsidRDefault="00BD4721" w:rsidP="00BD4721">
      <w:r>
        <w:t>Studying first the current CA procedure</w:t>
      </w:r>
      <w:r w:rsidR="00D0523F">
        <w:t>,</w:t>
      </w:r>
      <w:r>
        <w:t xml:space="preserve"> we find that </w:t>
      </w:r>
      <w:r w:rsidR="00D0523F">
        <w:t xml:space="preserve">carrier selection for the UE in unlicensed spectrum </w:t>
      </w:r>
      <w:r w:rsidR="00A716E2">
        <w:t xml:space="preserve">can be achieved by configuring a set of the carriers </w:t>
      </w:r>
      <w:r w:rsidR="00E4066C">
        <w:t xml:space="preserve">on which </w:t>
      </w:r>
      <w:r w:rsidR="00A716E2">
        <w:t xml:space="preserve">the UE support </w:t>
      </w:r>
      <w:r w:rsidR="00D52938">
        <w:t>simultaneous</w:t>
      </w:r>
      <w:r w:rsidR="00A716E2">
        <w:t xml:space="preserve"> </w:t>
      </w:r>
      <w:r w:rsidR="00A716E2">
        <w:lastRenderedPageBreak/>
        <w:t xml:space="preserve">reception and transmission. The UE will </w:t>
      </w:r>
      <w:r w:rsidR="00D0523F">
        <w:t xml:space="preserve">perform </w:t>
      </w:r>
      <w:r w:rsidR="00A716E2">
        <w:t xml:space="preserve">RRM measurements </w:t>
      </w:r>
      <w:r w:rsidR="00D0523F">
        <w:t xml:space="preserve">on the configured carriers and report them </w:t>
      </w:r>
      <w:r w:rsidR="00A716E2">
        <w:t xml:space="preserve">to the </w:t>
      </w:r>
      <w:proofErr w:type="spellStart"/>
      <w:r w:rsidR="00A716E2">
        <w:t>eNB</w:t>
      </w:r>
      <w:proofErr w:type="spellEnd"/>
      <w:r w:rsidR="00A716E2">
        <w:t xml:space="preserve">. The </w:t>
      </w:r>
      <w:proofErr w:type="spellStart"/>
      <w:r w:rsidR="00A716E2">
        <w:t>eNB</w:t>
      </w:r>
      <w:proofErr w:type="spellEnd"/>
      <w:r w:rsidR="00A716E2">
        <w:t xml:space="preserve"> can then make choice when it has data to schedule to the UE which of the carriers to activate and use for the </w:t>
      </w:r>
      <w:r w:rsidR="00323389">
        <w:t>data transmission</w:t>
      </w:r>
      <w:r w:rsidR="00A716E2">
        <w:t>. The number of carriers to activate can then also be chosen wisely based on the amount of data rate needed and the link quality reported for the different carrier</w:t>
      </w:r>
      <w:r w:rsidR="00E4066C">
        <w:t>s</w:t>
      </w:r>
      <w:r w:rsidR="00A716E2">
        <w:t>. By operating the carrier selection based on activation and deactivation</w:t>
      </w:r>
      <w:r w:rsidR="00323389">
        <w:t>,</w:t>
      </w:r>
      <w:r w:rsidR="00A716E2">
        <w:t xml:space="preserve"> the selection can also be done fast time wise. </w:t>
      </w:r>
      <w:r>
        <w:t xml:space="preserve">The time for activating a carrier before scheduling is up to 24 </w:t>
      </w:r>
      <w:proofErr w:type="spellStart"/>
      <w:r>
        <w:t>ms</w:t>
      </w:r>
      <w:proofErr w:type="spellEnd"/>
      <w:r>
        <w:t xml:space="preserve"> assuming that the UE has performed RRM measurement on </w:t>
      </w:r>
      <w:r w:rsidR="00B61B10">
        <w:t>this carrier</w:t>
      </w:r>
      <w:r>
        <w:t xml:space="preserve"> prior to receiving the activation command within DRX </w:t>
      </w:r>
      <w:proofErr w:type="gramStart"/>
      <w:r>
        <w:t>cycle.</w:t>
      </w:r>
      <w:proofErr w:type="gramEnd"/>
      <w:r>
        <w:t xml:space="preserve"> </w:t>
      </w:r>
      <w:r w:rsidR="00323389">
        <w:t xml:space="preserve">From this perspective, the fast carrier selection can be </w:t>
      </w:r>
      <w:r w:rsidR="006C38BE">
        <w:t xml:space="preserve">supported </w:t>
      </w:r>
      <w:r w:rsidR="00323389">
        <w:t>with current CA procedure</w:t>
      </w:r>
      <w:r w:rsidR="006C38BE">
        <w:t xml:space="preserve"> by using activation/deactivation mechanism</w:t>
      </w:r>
      <w:r w:rsidR="00323389">
        <w:t>.</w:t>
      </w:r>
    </w:p>
    <w:p w:rsidR="00A716E2" w:rsidRDefault="00BD4721" w:rsidP="00BD4721">
      <w:r>
        <w:t>To make the carrier selection fast</w:t>
      </w:r>
      <w:r w:rsidR="00323389">
        <w:t>er</w:t>
      </w:r>
      <w:r w:rsidR="006C38BE">
        <w:t>,</w:t>
      </w:r>
      <w:r>
        <w:t xml:space="preserve"> we study a few different alternatives. One alternative is the ability to configure the UE with more carriers </w:t>
      </w:r>
      <w:r w:rsidR="00E4066C">
        <w:t>than</w:t>
      </w:r>
      <w:r>
        <w:t xml:space="preserve"> the UE</w:t>
      </w:r>
      <w:r w:rsidR="00495A13">
        <w:t>’s capability of doing</w:t>
      </w:r>
      <w:r>
        <w:t xml:space="preserve"> RRM measurements for </w:t>
      </w:r>
      <w:r w:rsidR="00495A13">
        <w:t xml:space="preserve">all </w:t>
      </w:r>
      <w:r>
        <w:t>the</w:t>
      </w:r>
      <w:r w:rsidR="00BB2595">
        <w:t>se carriers</w:t>
      </w:r>
      <w:r w:rsidR="00495A13">
        <w:t xml:space="preserve"> at once</w:t>
      </w:r>
      <w:r w:rsidR="00B61B10">
        <w:t xml:space="preserve">. The procedure for such an operational case would then be that the </w:t>
      </w:r>
      <w:proofErr w:type="spellStart"/>
      <w:r w:rsidR="00B61B10">
        <w:t>eNB</w:t>
      </w:r>
      <w:proofErr w:type="spellEnd"/>
      <w:r w:rsidR="00B61B10">
        <w:t xml:space="preserve"> first configure the UE to perform RRM measurements on that frequency with</w:t>
      </w:r>
      <w:r w:rsidR="00F30BB7">
        <w:t>in</w:t>
      </w:r>
      <w:r w:rsidR="00B61B10">
        <w:t xml:space="preserve"> measurement gaps, since the UE cannot conduct measurement on that frequency </w:t>
      </w:r>
      <w:r w:rsidR="00F30BB7">
        <w:t>and</w:t>
      </w:r>
      <w:r w:rsidR="00B61B10">
        <w:t xml:space="preserve"> receiv</w:t>
      </w:r>
      <w:r w:rsidR="00F30BB7">
        <w:t>e</w:t>
      </w:r>
      <w:r w:rsidR="00B61B10">
        <w:t xml:space="preserve"> data</w:t>
      </w:r>
      <w:r w:rsidR="00F30BB7">
        <w:t xml:space="preserve"> on</w:t>
      </w:r>
      <w:r w:rsidR="00B61B10">
        <w:t xml:space="preserve"> another frequency. The time to acquire an accurate RRM measurement for that frequency will then be in the order of </w:t>
      </w:r>
      <w:r w:rsidR="004F73C0">
        <w:t xml:space="preserve">hundreds of </w:t>
      </w:r>
      <w:proofErr w:type="spellStart"/>
      <w:r w:rsidR="004F73C0">
        <w:t>ms</w:t>
      </w:r>
      <w:proofErr w:type="spellEnd"/>
      <w:r w:rsidR="00F30BB7">
        <w:t xml:space="preserve">, which </w:t>
      </w:r>
      <w:r w:rsidR="00D773BD">
        <w:t>may not be usable in the end since the measurement may be outdated when actual transmission will be done</w:t>
      </w:r>
      <w:r w:rsidR="00B61B10">
        <w:t xml:space="preserve">. </w:t>
      </w:r>
      <w:r w:rsidR="004F73C0">
        <w:t xml:space="preserve">The complexity and performance assessment </w:t>
      </w:r>
      <w:r w:rsidR="008B66CF">
        <w:t xml:space="preserve">should </w:t>
      </w:r>
      <w:r w:rsidR="004F73C0">
        <w:t xml:space="preserve">be done in RAN4. </w:t>
      </w:r>
      <w:r w:rsidR="00F30BB7">
        <w:t>One</w:t>
      </w:r>
      <w:r w:rsidR="00B61B10">
        <w:t xml:space="preserve"> way to speed up this process is to specify</w:t>
      </w:r>
      <w:r w:rsidR="00F30BB7">
        <w:t xml:space="preserve"> a</w:t>
      </w:r>
      <w:r w:rsidR="00B61B10">
        <w:t xml:space="preserve"> quicker RRM measurements procedure </w:t>
      </w:r>
      <w:r w:rsidR="008B66CF">
        <w:t>which also needs extensive RAN4 involvement</w:t>
      </w:r>
      <w:r w:rsidR="00B61B10">
        <w:t>. Another alternative would instead be to specify a fast activation procedure for</w:t>
      </w:r>
      <w:r w:rsidR="008B66CF">
        <w:t xml:space="preserve"> the</w:t>
      </w:r>
      <w:r w:rsidR="00B61B10">
        <w:t xml:space="preserve"> carrier, i.e. </w:t>
      </w:r>
      <w:r w:rsidR="001E3274">
        <w:t>shorter</w:t>
      </w:r>
      <w:r w:rsidR="00B61B10">
        <w:t xml:space="preserve"> than the currently defined 24 </w:t>
      </w:r>
      <w:proofErr w:type="spellStart"/>
      <w:proofErr w:type="gramStart"/>
      <w:r w:rsidR="00B61B10">
        <w:t>ms</w:t>
      </w:r>
      <w:proofErr w:type="spellEnd"/>
      <w:proofErr w:type="gramEnd"/>
      <w:r w:rsidR="004C2EC4">
        <w:t>.</w:t>
      </w:r>
      <w:r w:rsidR="00B61B10">
        <w:t xml:space="preserve"> </w:t>
      </w:r>
      <w:r w:rsidR="004C2EC4">
        <w:t>This</w:t>
      </w:r>
      <w:r w:rsidR="001E3274">
        <w:t xml:space="preserve"> is</w:t>
      </w:r>
      <w:r w:rsidR="00B61B10">
        <w:t xml:space="preserve"> similar to the RRM measurement procedure </w:t>
      </w:r>
      <w:r w:rsidR="001E3274">
        <w:t xml:space="preserve">and </w:t>
      </w:r>
      <w:r w:rsidR="00B61B10">
        <w:t>does require RAN4 involvement, but does however seem to be a more viable option and something that maybe further proceeded with. It was further show</w:t>
      </w:r>
      <w:r w:rsidR="00067B79">
        <w:t>n</w:t>
      </w:r>
      <w:r w:rsidR="00B61B10">
        <w:t xml:space="preserve"> in the </w:t>
      </w:r>
      <w:r w:rsidR="00067B79">
        <w:t>S</w:t>
      </w:r>
      <w:r w:rsidR="00B61B10">
        <w:t xml:space="preserve">mall </w:t>
      </w:r>
      <w:r w:rsidR="00067B79">
        <w:t>C</w:t>
      </w:r>
      <w:r w:rsidR="00B61B10">
        <w:t>ell</w:t>
      </w:r>
      <w:r w:rsidR="00067B79">
        <w:t xml:space="preserve"> PHY</w:t>
      </w:r>
      <w:r w:rsidR="00B61B10">
        <w:t xml:space="preserve"> SI that faster on/off processes of carriers is </w:t>
      </w:r>
      <w:r w:rsidR="006C1F15">
        <w:t>beneficial</w:t>
      </w:r>
      <w:r w:rsidR="00B61B10">
        <w:t xml:space="preserve"> from a performance perspective. Consequently there is an interest to be able to turn on and off cells following the UEs data burst.</w:t>
      </w:r>
      <w:r w:rsidR="006C1F15">
        <w:t xml:space="preserve"> At the same time </w:t>
      </w:r>
      <w:r w:rsidR="006C39FA">
        <w:t>a fast activation procedure</w:t>
      </w:r>
      <w:r w:rsidR="006C1F15">
        <w:t xml:space="preserve"> would allow the </w:t>
      </w:r>
      <w:proofErr w:type="spellStart"/>
      <w:r w:rsidR="006C1F15">
        <w:t>eNB</w:t>
      </w:r>
      <w:proofErr w:type="spellEnd"/>
      <w:r w:rsidR="006C1F15">
        <w:t xml:space="preserve"> as quick</w:t>
      </w:r>
      <w:r w:rsidR="00067B79">
        <w:t>ly</w:t>
      </w:r>
      <w:r w:rsidR="006C1F15">
        <w:t xml:space="preserve"> as possible </w:t>
      </w:r>
      <w:r w:rsidR="00067B79">
        <w:t xml:space="preserve">to </w:t>
      </w:r>
      <w:r w:rsidR="006C1F15">
        <w:t>schedule the UE on its configured carriers.</w:t>
      </w:r>
      <w:r w:rsidR="006C39FA">
        <w:t xml:space="preserve"> Therefore it could be of interest to study the feasibility to decrease the cell activation time.</w:t>
      </w:r>
    </w:p>
    <w:p w:rsidR="00B61B10" w:rsidRPr="009F3AB3" w:rsidRDefault="00B61B10" w:rsidP="00BD4721">
      <w:pPr>
        <w:rPr>
          <w:b/>
        </w:rPr>
      </w:pPr>
      <w:r w:rsidRPr="009F3AB3">
        <w:rPr>
          <w:b/>
        </w:rPr>
        <w:t>Observation</w:t>
      </w:r>
      <w:r w:rsidR="006C39FA">
        <w:rPr>
          <w:b/>
        </w:rPr>
        <w:t>:</w:t>
      </w:r>
    </w:p>
    <w:p w:rsidR="00B61B10" w:rsidRDefault="00B61B10" w:rsidP="009F3AB3">
      <w:pPr>
        <w:numPr>
          <w:ilvl w:val="0"/>
          <w:numId w:val="19"/>
        </w:numPr>
      </w:pPr>
      <w:r>
        <w:t>Fast carrier selection is supported by using activation/deactivation mechanism defined for CA</w:t>
      </w:r>
    </w:p>
    <w:p w:rsidR="00B61B10" w:rsidRDefault="00B61B10" w:rsidP="009F3AB3">
      <w:pPr>
        <w:numPr>
          <w:ilvl w:val="0"/>
          <w:numId w:val="19"/>
        </w:numPr>
      </w:pPr>
      <w:r>
        <w:t>Making the carrier selection procedure fast</w:t>
      </w:r>
      <w:r w:rsidR="006C1F15">
        <w:t>er</w:t>
      </w:r>
      <w:r>
        <w:t xml:space="preserve"> requires extensive RAN4 involvement</w:t>
      </w:r>
    </w:p>
    <w:p w:rsidR="00B61B10" w:rsidRPr="009F3AB3" w:rsidRDefault="00B61B10" w:rsidP="00BD4721">
      <w:pPr>
        <w:rPr>
          <w:b/>
        </w:rPr>
      </w:pPr>
      <w:r w:rsidRPr="009F3AB3">
        <w:rPr>
          <w:b/>
        </w:rPr>
        <w:t>Proposal</w:t>
      </w:r>
      <w:r w:rsidR="006C39FA">
        <w:rPr>
          <w:b/>
        </w:rPr>
        <w:t>:</w:t>
      </w:r>
    </w:p>
    <w:p w:rsidR="00D52938" w:rsidRDefault="00B61B10" w:rsidP="009F3AB3">
      <w:pPr>
        <w:numPr>
          <w:ilvl w:val="0"/>
          <w:numId w:val="19"/>
        </w:numPr>
      </w:pPr>
      <w:r>
        <w:t xml:space="preserve">Study further if it is feasible to decrease </w:t>
      </w:r>
      <w:r w:rsidR="006C1F15">
        <w:t>time require</w:t>
      </w:r>
      <w:r w:rsidR="001E3274">
        <w:t>d</w:t>
      </w:r>
      <w:r w:rsidR="006C1F15">
        <w:t xml:space="preserve"> for the UE to apply an CA activation command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42188B">
        <w:rPr>
          <w:iCs/>
        </w:rPr>
        <w:t xml:space="preserve">the carrier selection for </w:t>
      </w:r>
      <w:r w:rsidR="00881BF6">
        <w:rPr>
          <w:iCs/>
        </w:rPr>
        <w:t>CA enhancement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151000">
        <w:t xml:space="preserve"> observation and</w:t>
      </w:r>
      <w:r w:rsidR="00246F2C">
        <w:t xml:space="preserve"> </w:t>
      </w:r>
      <w:r w:rsidR="006B09AD">
        <w:t>proposals</w:t>
      </w:r>
      <w:r w:rsidR="00246F2C">
        <w:t>:</w:t>
      </w:r>
    </w:p>
    <w:p w:rsidR="009F3AB3" w:rsidRPr="00863E8A" w:rsidRDefault="009F3AB3" w:rsidP="009F3AB3">
      <w:pPr>
        <w:rPr>
          <w:b/>
        </w:rPr>
      </w:pPr>
      <w:r>
        <w:rPr>
          <w:b/>
        </w:rPr>
        <w:t>Observation</w:t>
      </w:r>
      <w:r w:rsidRPr="00863E8A">
        <w:rPr>
          <w:b/>
        </w:rPr>
        <w:t>:</w:t>
      </w:r>
    </w:p>
    <w:p w:rsidR="009F3AB3" w:rsidRDefault="009F3AB3" w:rsidP="009F3AB3">
      <w:pPr>
        <w:numPr>
          <w:ilvl w:val="0"/>
          <w:numId w:val="19"/>
        </w:numPr>
      </w:pPr>
      <w:r>
        <w:t>Current CA framework on licensed carriers with semi-static carrier selection on unlicensed carriers</w:t>
      </w:r>
      <w:r w:rsidRPr="00863E8A">
        <w:t xml:space="preserve"> can be supported without any specification impact.</w:t>
      </w:r>
    </w:p>
    <w:p w:rsidR="009F3AB3" w:rsidRDefault="009F3AB3" w:rsidP="009F3AB3">
      <w:pPr>
        <w:numPr>
          <w:ilvl w:val="0"/>
          <w:numId w:val="19"/>
        </w:numPr>
      </w:pPr>
      <w:r>
        <w:t>Fast carrier selection is supported by using activation/deactivation mechanism defined for CA.</w:t>
      </w:r>
    </w:p>
    <w:p w:rsidR="009F3AB3" w:rsidRPr="00863E8A" w:rsidRDefault="009F3AB3" w:rsidP="009F3AB3">
      <w:pPr>
        <w:numPr>
          <w:ilvl w:val="0"/>
          <w:numId w:val="19"/>
        </w:numPr>
      </w:pPr>
      <w:r>
        <w:t>Making the carrier selection procedure faster requires extensive RAN4 involvement.</w:t>
      </w:r>
    </w:p>
    <w:p w:rsidR="00024555" w:rsidRPr="00024555" w:rsidRDefault="002A5C38" w:rsidP="002A5C38">
      <w:pPr>
        <w:rPr>
          <w:b/>
        </w:rPr>
      </w:pPr>
      <w:r w:rsidRPr="00024555">
        <w:rPr>
          <w:b/>
        </w:rPr>
        <w:t>Proposal</w:t>
      </w:r>
      <w:r w:rsidRPr="00024555">
        <w:t xml:space="preserve">: </w:t>
      </w:r>
    </w:p>
    <w:p w:rsidR="009F3AB3" w:rsidRDefault="009F3AB3" w:rsidP="009F3AB3">
      <w:pPr>
        <w:numPr>
          <w:ilvl w:val="0"/>
          <w:numId w:val="19"/>
        </w:numPr>
      </w:pPr>
      <w:r>
        <w:t>Study further if it is feasible to decrease time require</w:t>
      </w:r>
      <w:r w:rsidR="001E3274">
        <w:t>d</w:t>
      </w:r>
      <w:r>
        <w:t xml:space="preserve"> for the UE to apply an CA activation command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lastRenderedPageBreak/>
        <w:t>Reference</w:t>
      </w:r>
      <w:r w:rsidR="00E3500B">
        <w:rPr>
          <w:lang w:val="en-US"/>
        </w:rPr>
        <w:t>s</w:t>
      </w:r>
    </w:p>
    <w:p w:rsidR="00512450" w:rsidRDefault="004919BC" w:rsidP="009F3AB3">
      <w:pPr>
        <w:pStyle w:val="Reference"/>
        <w:rPr>
          <w:lang w:val="en-US"/>
        </w:rPr>
      </w:pPr>
      <w:bookmarkStart w:id="5" w:name="_Ref363567898"/>
      <w:bookmarkStart w:id="6" w:name="_Ref367350341"/>
      <w:bookmarkStart w:id="7" w:name="_Ref370111837"/>
      <w:bookmarkStart w:id="8" w:name="_Ref370203071"/>
      <w:bookmarkStart w:id="9" w:name="_Ref377571746"/>
      <w:bookmarkStart w:id="10" w:name="_Ref386564944"/>
      <w:bookmarkStart w:id="11" w:name="_Ref386565146"/>
      <w:bookmarkStart w:id="12" w:name="_Ref395083208"/>
      <w:bookmarkStart w:id="13" w:name="_Ref416180221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512450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4A8" w:rsidRDefault="005334A8" w:rsidP="000C2022">
      <w:pPr>
        <w:spacing w:after="0"/>
      </w:pPr>
      <w:r>
        <w:separator/>
      </w:r>
    </w:p>
  </w:endnote>
  <w:endnote w:type="continuationSeparator" w:id="0">
    <w:p w:rsidR="005334A8" w:rsidRDefault="005334A8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4A8" w:rsidRDefault="005334A8" w:rsidP="000C2022">
      <w:pPr>
        <w:spacing w:after="0"/>
      </w:pPr>
      <w:r>
        <w:separator/>
      </w:r>
    </w:p>
  </w:footnote>
  <w:footnote w:type="continuationSeparator" w:id="0">
    <w:p w:rsidR="005334A8" w:rsidRDefault="005334A8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AC5440"/>
    <w:multiLevelType w:val="hybridMultilevel"/>
    <w:tmpl w:val="6A70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60E31A2"/>
    <w:multiLevelType w:val="hybridMultilevel"/>
    <w:tmpl w:val="A6F4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B2D4B39"/>
    <w:multiLevelType w:val="hybridMultilevel"/>
    <w:tmpl w:val="1842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4"/>
  </w:num>
  <w:num w:numId="6">
    <w:abstractNumId w:val="3"/>
  </w:num>
  <w:num w:numId="7">
    <w:abstractNumId w:val="17"/>
  </w:num>
  <w:num w:numId="8">
    <w:abstractNumId w:val="11"/>
  </w:num>
  <w:num w:numId="9">
    <w:abstractNumId w:val="15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16"/>
  </w:num>
  <w:num w:numId="18">
    <w:abstractNumId w:val="9"/>
  </w:num>
  <w:num w:numId="19">
    <w:abstractNumId w:val="12"/>
  </w:num>
  <w:num w:numId="2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6168"/>
    <w:rsid w:val="00006F31"/>
    <w:rsid w:val="00010190"/>
    <w:rsid w:val="00015C65"/>
    <w:rsid w:val="00017365"/>
    <w:rsid w:val="00021C89"/>
    <w:rsid w:val="00023C54"/>
    <w:rsid w:val="00023CF5"/>
    <w:rsid w:val="00024555"/>
    <w:rsid w:val="00024DA7"/>
    <w:rsid w:val="00025FD9"/>
    <w:rsid w:val="0003481E"/>
    <w:rsid w:val="000374B8"/>
    <w:rsid w:val="000374CB"/>
    <w:rsid w:val="000434E5"/>
    <w:rsid w:val="0004502C"/>
    <w:rsid w:val="000462B9"/>
    <w:rsid w:val="000509AD"/>
    <w:rsid w:val="000513DB"/>
    <w:rsid w:val="00052C52"/>
    <w:rsid w:val="000545C6"/>
    <w:rsid w:val="00055B89"/>
    <w:rsid w:val="00063371"/>
    <w:rsid w:val="00066C59"/>
    <w:rsid w:val="00067B79"/>
    <w:rsid w:val="00070520"/>
    <w:rsid w:val="00070AE9"/>
    <w:rsid w:val="0007460E"/>
    <w:rsid w:val="0007476D"/>
    <w:rsid w:val="00076361"/>
    <w:rsid w:val="00080E20"/>
    <w:rsid w:val="00090129"/>
    <w:rsid w:val="0009036B"/>
    <w:rsid w:val="000916FA"/>
    <w:rsid w:val="0009172B"/>
    <w:rsid w:val="000955EF"/>
    <w:rsid w:val="000A0A13"/>
    <w:rsid w:val="000A10FB"/>
    <w:rsid w:val="000A375A"/>
    <w:rsid w:val="000A3CBB"/>
    <w:rsid w:val="000A6D95"/>
    <w:rsid w:val="000B1A2C"/>
    <w:rsid w:val="000B3E0F"/>
    <w:rsid w:val="000C1373"/>
    <w:rsid w:val="000C2022"/>
    <w:rsid w:val="000C61AA"/>
    <w:rsid w:val="000C7D43"/>
    <w:rsid w:val="000D1369"/>
    <w:rsid w:val="000F2C29"/>
    <w:rsid w:val="000F6096"/>
    <w:rsid w:val="000F7999"/>
    <w:rsid w:val="00100788"/>
    <w:rsid w:val="00102793"/>
    <w:rsid w:val="001031D7"/>
    <w:rsid w:val="001056EF"/>
    <w:rsid w:val="00113D5D"/>
    <w:rsid w:val="00114680"/>
    <w:rsid w:val="00120819"/>
    <w:rsid w:val="001219E0"/>
    <w:rsid w:val="00122E62"/>
    <w:rsid w:val="00126358"/>
    <w:rsid w:val="001352A3"/>
    <w:rsid w:val="001423F6"/>
    <w:rsid w:val="00143E8C"/>
    <w:rsid w:val="00145CB4"/>
    <w:rsid w:val="00145D1F"/>
    <w:rsid w:val="00145E4A"/>
    <w:rsid w:val="00150D13"/>
    <w:rsid w:val="00151000"/>
    <w:rsid w:val="00154016"/>
    <w:rsid w:val="001557F0"/>
    <w:rsid w:val="00156079"/>
    <w:rsid w:val="00161BD3"/>
    <w:rsid w:val="00165095"/>
    <w:rsid w:val="00171752"/>
    <w:rsid w:val="00171C9F"/>
    <w:rsid w:val="00172149"/>
    <w:rsid w:val="00172C95"/>
    <w:rsid w:val="00176033"/>
    <w:rsid w:val="00176F4D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3E32"/>
    <w:rsid w:val="001B4D6F"/>
    <w:rsid w:val="001C3A4A"/>
    <w:rsid w:val="001C6C5C"/>
    <w:rsid w:val="001D1488"/>
    <w:rsid w:val="001D1708"/>
    <w:rsid w:val="001D18A2"/>
    <w:rsid w:val="001D3DA2"/>
    <w:rsid w:val="001D7487"/>
    <w:rsid w:val="001E3274"/>
    <w:rsid w:val="001E37B8"/>
    <w:rsid w:val="001E3E04"/>
    <w:rsid w:val="001E412C"/>
    <w:rsid w:val="001E5D99"/>
    <w:rsid w:val="00205542"/>
    <w:rsid w:val="00220517"/>
    <w:rsid w:val="00220960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62477"/>
    <w:rsid w:val="00271199"/>
    <w:rsid w:val="002724AE"/>
    <w:rsid w:val="00273B32"/>
    <w:rsid w:val="002763B9"/>
    <w:rsid w:val="00280F46"/>
    <w:rsid w:val="002902F8"/>
    <w:rsid w:val="00291178"/>
    <w:rsid w:val="00292344"/>
    <w:rsid w:val="002A11BF"/>
    <w:rsid w:val="002A22D7"/>
    <w:rsid w:val="002A276D"/>
    <w:rsid w:val="002A3E1F"/>
    <w:rsid w:val="002A4A3D"/>
    <w:rsid w:val="002A5561"/>
    <w:rsid w:val="002A5C38"/>
    <w:rsid w:val="002A7E37"/>
    <w:rsid w:val="002B1166"/>
    <w:rsid w:val="002B19A1"/>
    <w:rsid w:val="002B270D"/>
    <w:rsid w:val="002B54F0"/>
    <w:rsid w:val="002C0275"/>
    <w:rsid w:val="002C2709"/>
    <w:rsid w:val="002D5A86"/>
    <w:rsid w:val="002E0363"/>
    <w:rsid w:val="002E0B95"/>
    <w:rsid w:val="002E0D8A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6C11"/>
    <w:rsid w:val="00312F31"/>
    <w:rsid w:val="00314E22"/>
    <w:rsid w:val="003163C9"/>
    <w:rsid w:val="00323389"/>
    <w:rsid w:val="00327822"/>
    <w:rsid w:val="00327856"/>
    <w:rsid w:val="003303A5"/>
    <w:rsid w:val="00334E15"/>
    <w:rsid w:val="003379E0"/>
    <w:rsid w:val="00342DBD"/>
    <w:rsid w:val="00343D1D"/>
    <w:rsid w:val="0034717F"/>
    <w:rsid w:val="003516E0"/>
    <w:rsid w:val="00352B1B"/>
    <w:rsid w:val="00353292"/>
    <w:rsid w:val="003538F3"/>
    <w:rsid w:val="00362A5C"/>
    <w:rsid w:val="003679F1"/>
    <w:rsid w:val="00371529"/>
    <w:rsid w:val="00372186"/>
    <w:rsid w:val="00376018"/>
    <w:rsid w:val="00376AE9"/>
    <w:rsid w:val="00382360"/>
    <w:rsid w:val="0039469C"/>
    <w:rsid w:val="003954F9"/>
    <w:rsid w:val="003A0C6E"/>
    <w:rsid w:val="003A150D"/>
    <w:rsid w:val="003A4CF0"/>
    <w:rsid w:val="003A6D79"/>
    <w:rsid w:val="003B3DBC"/>
    <w:rsid w:val="003C6DD1"/>
    <w:rsid w:val="003D0546"/>
    <w:rsid w:val="003D1A79"/>
    <w:rsid w:val="003D3535"/>
    <w:rsid w:val="003D66C5"/>
    <w:rsid w:val="003D7C02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A72"/>
    <w:rsid w:val="00403322"/>
    <w:rsid w:val="00403A8E"/>
    <w:rsid w:val="004123B1"/>
    <w:rsid w:val="00415D57"/>
    <w:rsid w:val="0042188B"/>
    <w:rsid w:val="00432D5E"/>
    <w:rsid w:val="004366BC"/>
    <w:rsid w:val="00436735"/>
    <w:rsid w:val="0044293A"/>
    <w:rsid w:val="004440D5"/>
    <w:rsid w:val="00454194"/>
    <w:rsid w:val="00454D0A"/>
    <w:rsid w:val="00457AEE"/>
    <w:rsid w:val="00461BC3"/>
    <w:rsid w:val="00464E47"/>
    <w:rsid w:val="004666E3"/>
    <w:rsid w:val="00470832"/>
    <w:rsid w:val="00472F28"/>
    <w:rsid w:val="0047627B"/>
    <w:rsid w:val="0047671A"/>
    <w:rsid w:val="004919BC"/>
    <w:rsid w:val="00493BCC"/>
    <w:rsid w:val="00493EF6"/>
    <w:rsid w:val="00495A13"/>
    <w:rsid w:val="00497C79"/>
    <w:rsid w:val="004A29A4"/>
    <w:rsid w:val="004A3C88"/>
    <w:rsid w:val="004B2B12"/>
    <w:rsid w:val="004B68DC"/>
    <w:rsid w:val="004C191C"/>
    <w:rsid w:val="004C2EC4"/>
    <w:rsid w:val="004C3C4C"/>
    <w:rsid w:val="004C5334"/>
    <w:rsid w:val="004D1500"/>
    <w:rsid w:val="004D24E3"/>
    <w:rsid w:val="004D2AA8"/>
    <w:rsid w:val="004F1226"/>
    <w:rsid w:val="004F6284"/>
    <w:rsid w:val="004F73C0"/>
    <w:rsid w:val="005043CF"/>
    <w:rsid w:val="0050491E"/>
    <w:rsid w:val="0050603A"/>
    <w:rsid w:val="00510BEB"/>
    <w:rsid w:val="00512450"/>
    <w:rsid w:val="0051694C"/>
    <w:rsid w:val="005209E0"/>
    <w:rsid w:val="005234DC"/>
    <w:rsid w:val="00524832"/>
    <w:rsid w:val="0052793E"/>
    <w:rsid w:val="005334A8"/>
    <w:rsid w:val="0053717E"/>
    <w:rsid w:val="00537727"/>
    <w:rsid w:val="005440D2"/>
    <w:rsid w:val="00544D3C"/>
    <w:rsid w:val="00550D3B"/>
    <w:rsid w:val="005510E4"/>
    <w:rsid w:val="005512B3"/>
    <w:rsid w:val="0056116A"/>
    <w:rsid w:val="005620C5"/>
    <w:rsid w:val="00563939"/>
    <w:rsid w:val="0057203A"/>
    <w:rsid w:val="005723AB"/>
    <w:rsid w:val="00573D17"/>
    <w:rsid w:val="00574CE5"/>
    <w:rsid w:val="00577988"/>
    <w:rsid w:val="0058097B"/>
    <w:rsid w:val="0058129C"/>
    <w:rsid w:val="00584828"/>
    <w:rsid w:val="005854D3"/>
    <w:rsid w:val="0059079F"/>
    <w:rsid w:val="00590ACF"/>
    <w:rsid w:val="005A2B54"/>
    <w:rsid w:val="005A6DD3"/>
    <w:rsid w:val="005A7521"/>
    <w:rsid w:val="005B128C"/>
    <w:rsid w:val="005B1A07"/>
    <w:rsid w:val="005B30DC"/>
    <w:rsid w:val="005B31A3"/>
    <w:rsid w:val="005B71E6"/>
    <w:rsid w:val="005C1E47"/>
    <w:rsid w:val="005D327D"/>
    <w:rsid w:val="005D341B"/>
    <w:rsid w:val="005D5E82"/>
    <w:rsid w:val="005D6ACE"/>
    <w:rsid w:val="005E1B83"/>
    <w:rsid w:val="005E4A31"/>
    <w:rsid w:val="005E66DC"/>
    <w:rsid w:val="005E755F"/>
    <w:rsid w:val="005E7E94"/>
    <w:rsid w:val="005E7E97"/>
    <w:rsid w:val="005F0256"/>
    <w:rsid w:val="005F1028"/>
    <w:rsid w:val="005F366A"/>
    <w:rsid w:val="005F4B92"/>
    <w:rsid w:val="005F69D4"/>
    <w:rsid w:val="005F6C35"/>
    <w:rsid w:val="005F736C"/>
    <w:rsid w:val="006076BA"/>
    <w:rsid w:val="00612CCC"/>
    <w:rsid w:val="00614DF9"/>
    <w:rsid w:val="0062343F"/>
    <w:rsid w:val="00631569"/>
    <w:rsid w:val="00631F6D"/>
    <w:rsid w:val="006324FD"/>
    <w:rsid w:val="00632AA0"/>
    <w:rsid w:val="006336CA"/>
    <w:rsid w:val="00637CE4"/>
    <w:rsid w:val="00645491"/>
    <w:rsid w:val="00647D52"/>
    <w:rsid w:val="00652A89"/>
    <w:rsid w:val="00657A20"/>
    <w:rsid w:val="00657EDB"/>
    <w:rsid w:val="006626B1"/>
    <w:rsid w:val="0067004F"/>
    <w:rsid w:val="006769AF"/>
    <w:rsid w:val="00677EEA"/>
    <w:rsid w:val="00681011"/>
    <w:rsid w:val="00683238"/>
    <w:rsid w:val="00683798"/>
    <w:rsid w:val="00684536"/>
    <w:rsid w:val="00685DE3"/>
    <w:rsid w:val="00686DB7"/>
    <w:rsid w:val="00690E3C"/>
    <w:rsid w:val="00692E19"/>
    <w:rsid w:val="00697F9D"/>
    <w:rsid w:val="006A1B35"/>
    <w:rsid w:val="006A356A"/>
    <w:rsid w:val="006B09AD"/>
    <w:rsid w:val="006B1671"/>
    <w:rsid w:val="006B2F1F"/>
    <w:rsid w:val="006B451F"/>
    <w:rsid w:val="006B6F07"/>
    <w:rsid w:val="006B7BBC"/>
    <w:rsid w:val="006C1F15"/>
    <w:rsid w:val="006C38BE"/>
    <w:rsid w:val="006C39FA"/>
    <w:rsid w:val="006C4557"/>
    <w:rsid w:val="006C5311"/>
    <w:rsid w:val="006C6C6E"/>
    <w:rsid w:val="006D7142"/>
    <w:rsid w:val="006E34FB"/>
    <w:rsid w:val="006E491B"/>
    <w:rsid w:val="006E7199"/>
    <w:rsid w:val="006F0F2E"/>
    <w:rsid w:val="0070165B"/>
    <w:rsid w:val="00702B09"/>
    <w:rsid w:val="0071100D"/>
    <w:rsid w:val="007118A4"/>
    <w:rsid w:val="00713E53"/>
    <w:rsid w:val="00715E98"/>
    <w:rsid w:val="007163F3"/>
    <w:rsid w:val="007206B3"/>
    <w:rsid w:val="007227BD"/>
    <w:rsid w:val="00731E26"/>
    <w:rsid w:val="00733B14"/>
    <w:rsid w:val="007378D4"/>
    <w:rsid w:val="00741B81"/>
    <w:rsid w:val="00741DD8"/>
    <w:rsid w:val="007561E2"/>
    <w:rsid w:val="007641DB"/>
    <w:rsid w:val="00773161"/>
    <w:rsid w:val="007755B8"/>
    <w:rsid w:val="007769C4"/>
    <w:rsid w:val="00777FDC"/>
    <w:rsid w:val="00785AB3"/>
    <w:rsid w:val="00790BBC"/>
    <w:rsid w:val="00791076"/>
    <w:rsid w:val="0079186C"/>
    <w:rsid w:val="00796302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E62E5"/>
    <w:rsid w:val="007F1CC1"/>
    <w:rsid w:val="007F2DC4"/>
    <w:rsid w:val="007F50A4"/>
    <w:rsid w:val="007F748F"/>
    <w:rsid w:val="00802F3A"/>
    <w:rsid w:val="008058AD"/>
    <w:rsid w:val="0080596A"/>
    <w:rsid w:val="00811A47"/>
    <w:rsid w:val="00815DFF"/>
    <w:rsid w:val="00816725"/>
    <w:rsid w:val="008201B4"/>
    <w:rsid w:val="00825897"/>
    <w:rsid w:val="00826C78"/>
    <w:rsid w:val="0082726C"/>
    <w:rsid w:val="008336A1"/>
    <w:rsid w:val="008339C0"/>
    <w:rsid w:val="008362F8"/>
    <w:rsid w:val="0084117B"/>
    <w:rsid w:val="0084628A"/>
    <w:rsid w:val="008465E4"/>
    <w:rsid w:val="00850B58"/>
    <w:rsid w:val="0085122B"/>
    <w:rsid w:val="0085627F"/>
    <w:rsid w:val="00860724"/>
    <w:rsid w:val="0086135D"/>
    <w:rsid w:val="00862F4B"/>
    <w:rsid w:val="00863E8A"/>
    <w:rsid w:val="00865064"/>
    <w:rsid w:val="00872E77"/>
    <w:rsid w:val="00874B0F"/>
    <w:rsid w:val="008765B0"/>
    <w:rsid w:val="00881396"/>
    <w:rsid w:val="00881BF6"/>
    <w:rsid w:val="00884662"/>
    <w:rsid w:val="00885257"/>
    <w:rsid w:val="00885740"/>
    <w:rsid w:val="00887955"/>
    <w:rsid w:val="008907C6"/>
    <w:rsid w:val="008931B3"/>
    <w:rsid w:val="00896C35"/>
    <w:rsid w:val="008A3508"/>
    <w:rsid w:val="008B2053"/>
    <w:rsid w:val="008B371B"/>
    <w:rsid w:val="008B66CF"/>
    <w:rsid w:val="008B7A21"/>
    <w:rsid w:val="008D4155"/>
    <w:rsid w:val="008E30C4"/>
    <w:rsid w:val="008E4F69"/>
    <w:rsid w:val="008E67E0"/>
    <w:rsid w:val="008F0545"/>
    <w:rsid w:val="009031F8"/>
    <w:rsid w:val="00903BF6"/>
    <w:rsid w:val="00911445"/>
    <w:rsid w:val="00914A33"/>
    <w:rsid w:val="0092115B"/>
    <w:rsid w:val="009219D9"/>
    <w:rsid w:val="009222F7"/>
    <w:rsid w:val="00922393"/>
    <w:rsid w:val="009239BC"/>
    <w:rsid w:val="00935300"/>
    <w:rsid w:val="0094016B"/>
    <w:rsid w:val="00941B6B"/>
    <w:rsid w:val="00941EC9"/>
    <w:rsid w:val="0094210B"/>
    <w:rsid w:val="00942467"/>
    <w:rsid w:val="00942A6E"/>
    <w:rsid w:val="0094625E"/>
    <w:rsid w:val="0094722A"/>
    <w:rsid w:val="00951588"/>
    <w:rsid w:val="009718CD"/>
    <w:rsid w:val="00973821"/>
    <w:rsid w:val="00981094"/>
    <w:rsid w:val="00982B4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B1D8F"/>
    <w:rsid w:val="009B4D08"/>
    <w:rsid w:val="009B5ADE"/>
    <w:rsid w:val="009C514D"/>
    <w:rsid w:val="009D5F5C"/>
    <w:rsid w:val="009E1318"/>
    <w:rsid w:val="009E1BEB"/>
    <w:rsid w:val="009E4053"/>
    <w:rsid w:val="009E5676"/>
    <w:rsid w:val="009E76AA"/>
    <w:rsid w:val="009E7CE9"/>
    <w:rsid w:val="009F3AB3"/>
    <w:rsid w:val="009F58B1"/>
    <w:rsid w:val="009F594C"/>
    <w:rsid w:val="00A032AF"/>
    <w:rsid w:val="00A0509E"/>
    <w:rsid w:val="00A11022"/>
    <w:rsid w:val="00A11D4D"/>
    <w:rsid w:val="00A13165"/>
    <w:rsid w:val="00A1419D"/>
    <w:rsid w:val="00A25907"/>
    <w:rsid w:val="00A27BCD"/>
    <w:rsid w:val="00A32B50"/>
    <w:rsid w:val="00A41FE4"/>
    <w:rsid w:val="00A44420"/>
    <w:rsid w:val="00A45250"/>
    <w:rsid w:val="00A52252"/>
    <w:rsid w:val="00A55D34"/>
    <w:rsid w:val="00A64AA3"/>
    <w:rsid w:val="00A66BD0"/>
    <w:rsid w:val="00A6754E"/>
    <w:rsid w:val="00A70AEB"/>
    <w:rsid w:val="00A716E2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6F6C"/>
    <w:rsid w:val="00AC0650"/>
    <w:rsid w:val="00AD07EB"/>
    <w:rsid w:val="00AD6BEE"/>
    <w:rsid w:val="00AE1AD3"/>
    <w:rsid w:val="00AE6155"/>
    <w:rsid w:val="00AE7E56"/>
    <w:rsid w:val="00AF18BC"/>
    <w:rsid w:val="00AF2D7F"/>
    <w:rsid w:val="00AF51F4"/>
    <w:rsid w:val="00B013A9"/>
    <w:rsid w:val="00B03371"/>
    <w:rsid w:val="00B0596D"/>
    <w:rsid w:val="00B13991"/>
    <w:rsid w:val="00B2252B"/>
    <w:rsid w:val="00B23615"/>
    <w:rsid w:val="00B23D20"/>
    <w:rsid w:val="00B250E2"/>
    <w:rsid w:val="00B251C0"/>
    <w:rsid w:val="00B302C2"/>
    <w:rsid w:val="00B30D35"/>
    <w:rsid w:val="00B31017"/>
    <w:rsid w:val="00B351AE"/>
    <w:rsid w:val="00B37468"/>
    <w:rsid w:val="00B46811"/>
    <w:rsid w:val="00B46A1C"/>
    <w:rsid w:val="00B477B5"/>
    <w:rsid w:val="00B57CAE"/>
    <w:rsid w:val="00B61B10"/>
    <w:rsid w:val="00B6241B"/>
    <w:rsid w:val="00B658F9"/>
    <w:rsid w:val="00B67E6C"/>
    <w:rsid w:val="00B700AB"/>
    <w:rsid w:val="00B72634"/>
    <w:rsid w:val="00B740AB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64E8"/>
    <w:rsid w:val="00BB2595"/>
    <w:rsid w:val="00BB3DFD"/>
    <w:rsid w:val="00BC43AC"/>
    <w:rsid w:val="00BD1DD3"/>
    <w:rsid w:val="00BD4545"/>
    <w:rsid w:val="00BD4721"/>
    <w:rsid w:val="00BD549A"/>
    <w:rsid w:val="00BD5705"/>
    <w:rsid w:val="00BD5A37"/>
    <w:rsid w:val="00BD7B3A"/>
    <w:rsid w:val="00BE0510"/>
    <w:rsid w:val="00BE1F19"/>
    <w:rsid w:val="00BE4D5A"/>
    <w:rsid w:val="00BE7608"/>
    <w:rsid w:val="00BE7D9B"/>
    <w:rsid w:val="00BF0289"/>
    <w:rsid w:val="00BF4E20"/>
    <w:rsid w:val="00BF4F67"/>
    <w:rsid w:val="00C0777F"/>
    <w:rsid w:val="00C10227"/>
    <w:rsid w:val="00C11E5B"/>
    <w:rsid w:val="00C130F9"/>
    <w:rsid w:val="00C169B8"/>
    <w:rsid w:val="00C205F2"/>
    <w:rsid w:val="00C221E2"/>
    <w:rsid w:val="00C22625"/>
    <w:rsid w:val="00C23A01"/>
    <w:rsid w:val="00C3016D"/>
    <w:rsid w:val="00C31337"/>
    <w:rsid w:val="00C37799"/>
    <w:rsid w:val="00C43A5C"/>
    <w:rsid w:val="00C46BD0"/>
    <w:rsid w:val="00C5492C"/>
    <w:rsid w:val="00C560D3"/>
    <w:rsid w:val="00C62619"/>
    <w:rsid w:val="00C62EF3"/>
    <w:rsid w:val="00C75E45"/>
    <w:rsid w:val="00C80673"/>
    <w:rsid w:val="00C81FEF"/>
    <w:rsid w:val="00C83CEF"/>
    <w:rsid w:val="00C9378E"/>
    <w:rsid w:val="00C93ECC"/>
    <w:rsid w:val="00C97378"/>
    <w:rsid w:val="00CA1420"/>
    <w:rsid w:val="00CA2DEA"/>
    <w:rsid w:val="00CA3E6B"/>
    <w:rsid w:val="00CA5F0B"/>
    <w:rsid w:val="00CA6416"/>
    <w:rsid w:val="00CB23D1"/>
    <w:rsid w:val="00CB7D6D"/>
    <w:rsid w:val="00CC02F3"/>
    <w:rsid w:val="00CC12A2"/>
    <w:rsid w:val="00CD286A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7246"/>
    <w:rsid w:val="00D0523F"/>
    <w:rsid w:val="00D06301"/>
    <w:rsid w:val="00D07663"/>
    <w:rsid w:val="00D07885"/>
    <w:rsid w:val="00D1140C"/>
    <w:rsid w:val="00D1528F"/>
    <w:rsid w:val="00D20A17"/>
    <w:rsid w:val="00D21E3B"/>
    <w:rsid w:val="00D24D52"/>
    <w:rsid w:val="00D24F2E"/>
    <w:rsid w:val="00D257B9"/>
    <w:rsid w:val="00D31D2F"/>
    <w:rsid w:val="00D424D3"/>
    <w:rsid w:val="00D424FC"/>
    <w:rsid w:val="00D44020"/>
    <w:rsid w:val="00D453CF"/>
    <w:rsid w:val="00D52938"/>
    <w:rsid w:val="00D555EF"/>
    <w:rsid w:val="00D55D02"/>
    <w:rsid w:val="00D565EC"/>
    <w:rsid w:val="00D5710E"/>
    <w:rsid w:val="00D6025E"/>
    <w:rsid w:val="00D63272"/>
    <w:rsid w:val="00D65925"/>
    <w:rsid w:val="00D65AA7"/>
    <w:rsid w:val="00D773BD"/>
    <w:rsid w:val="00D80C4F"/>
    <w:rsid w:val="00D82576"/>
    <w:rsid w:val="00D84E23"/>
    <w:rsid w:val="00D874B9"/>
    <w:rsid w:val="00DA7BA8"/>
    <w:rsid w:val="00DB0E16"/>
    <w:rsid w:val="00DB34A6"/>
    <w:rsid w:val="00DB4010"/>
    <w:rsid w:val="00DB7CFA"/>
    <w:rsid w:val="00DC250D"/>
    <w:rsid w:val="00DD7B80"/>
    <w:rsid w:val="00DE2561"/>
    <w:rsid w:val="00DE5074"/>
    <w:rsid w:val="00DE7CF1"/>
    <w:rsid w:val="00DF163E"/>
    <w:rsid w:val="00DF1FD2"/>
    <w:rsid w:val="00DF3053"/>
    <w:rsid w:val="00DF570C"/>
    <w:rsid w:val="00DF5805"/>
    <w:rsid w:val="00E0544A"/>
    <w:rsid w:val="00E05B68"/>
    <w:rsid w:val="00E10C75"/>
    <w:rsid w:val="00E162CE"/>
    <w:rsid w:val="00E16F1F"/>
    <w:rsid w:val="00E245B4"/>
    <w:rsid w:val="00E2647C"/>
    <w:rsid w:val="00E320B6"/>
    <w:rsid w:val="00E32BB9"/>
    <w:rsid w:val="00E338D2"/>
    <w:rsid w:val="00E3500B"/>
    <w:rsid w:val="00E36335"/>
    <w:rsid w:val="00E3649C"/>
    <w:rsid w:val="00E4066C"/>
    <w:rsid w:val="00E41160"/>
    <w:rsid w:val="00E42157"/>
    <w:rsid w:val="00E429F2"/>
    <w:rsid w:val="00E57C83"/>
    <w:rsid w:val="00E60680"/>
    <w:rsid w:val="00E63160"/>
    <w:rsid w:val="00E654FD"/>
    <w:rsid w:val="00E6772D"/>
    <w:rsid w:val="00E71A58"/>
    <w:rsid w:val="00E74575"/>
    <w:rsid w:val="00E81D31"/>
    <w:rsid w:val="00E82C6F"/>
    <w:rsid w:val="00E85BCA"/>
    <w:rsid w:val="00E864A1"/>
    <w:rsid w:val="00E9310D"/>
    <w:rsid w:val="00E95F60"/>
    <w:rsid w:val="00EA39F0"/>
    <w:rsid w:val="00EA4DD6"/>
    <w:rsid w:val="00EB14AF"/>
    <w:rsid w:val="00EB385C"/>
    <w:rsid w:val="00EB5E8D"/>
    <w:rsid w:val="00EB6B39"/>
    <w:rsid w:val="00EB6DE2"/>
    <w:rsid w:val="00EC2138"/>
    <w:rsid w:val="00EC30CC"/>
    <w:rsid w:val="00EC3FAD"/>
    <w:rsid w:val="00ED24F8"/>
    <w:rsid w:val="00ED52A7"/>
    <w:rsid w:val="00EE0E8E"/>
    <w:rsid w:val="00EF5B11"/>
    <w:rsid w:val="00F02F79"/>
    <w:rsid w:val="00F23A20"/>
    <w:rsid w:val="00F27174"/>
    <w:rsid w:val="00F30BB7"/>
    <w:rsid w:val="00F30BE5"/>
    <w:rsid w:val="00F318A9"/>
    <w:rsid w:val="00F3289B"/>
    <w:rsid w:val="00F34369"/>
    <w:rsid w:val="00F37552"/>
    <w:rsid w:val="00F41AA6"/>
    <w:rsid w:val="00F45C7B"/>
    <w:rsid w:val="00F51545"/>
    <w:rsid w:val="00F52092"/>
    <w:rsid w:val="00F52EFE"/>
    <w:rsid w:val="00F54256"/>
    <w:rsid w:val="00F6172B"/>
    <w:rsid w:val="00F649DD"/>
    <w:rsid w:val="00F65A04"/>
    <w:rsid w:val="00F65E0F"/>
    <w:rsid w:val="00F67C23"/>
    <w:rsid w:val="00F70B2E"/>
    <w:rsid w:val="00F71A00"/>
    <w:rsid w:val="00F71B9D"/>
    <w:rsid w:val="00F73BE8"/>
    <w:rsid w:val="00F74459"/>
    <w:rsid w:val="00F745E6"/>
    <w:rsid w:val="00F76A7F"/>
    <w:rsid w:val="00F81C25"/>
    <w:rsid w:val="00F9200E"/>
    <w:rsid w:val="00F95557"/>
    <w:rsid w:val="00F96573"/>
    <w:rsid w:val="00F96B97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F7"/>
    <w:rsid w:val="00FF251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F0A65-61AE-4CD4-A3F3-9F753964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cp:lastPrinted>2014-08-07T12:35:00Z</cp:lastPrinted>
  <dcterms:created xsi:type="dcterms:W3CDTF">2015-05-15T08:36:00Z</dcterms:created>
  <dcterms:modified xsi:type="dcterms:W3CDTF">2015-05-15T08:37:00Z</dcterms:modified>
</cp:coreProperties>
</file>