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E92C5B" w:rsidP="000074A3">
      <w:pPr>
        <w:pStyle w:val="3GPPHeader"/>
        <w:spacing w:after="60"/>
        <w:rPr>
          <w:rFonts w:cs="Arial"/>
          <w:sz w:val="32"/>
          <w:szCs w:val="32"/>
          <w:highlight w:val="yellow"/>
          <w:lang w:val="en-US"/>
        </w:rPr>
      </w:pPr>
      <w:r>
        <w:rPr>
          <w:rFonts w:cs="Arial"/>
          <w:lang w:val="en-US"/>
        </w:rPr>
        <w:t>3GPP TSG-RAN WG1 Meeting #80</w:t>
      </w:r>
      <w:r w:rsidR="000074A3" w:rsidRPr="00AB6D1D">
        <w:rPr>
          <w:rFonts w:cs="Arial"/>
          <w:lang w:val="en-US"/>
        </w:rPr>
        <w:tab/>
      </w:r>
      <w:r>
        <w:rPr>
          <w:rFonts w:cs="Arial"/>
          <w:szCs w:val="32"/>
          <w:lang w:val="en-US"/>
        </w:rPr>
        <w:t>R1-15</w:t>
      </w:r>
      <w:r w:rsidR="00455206">
        <w:rPr>
          <w:rFonts w:cs="Arial"/>
          <w:szCs w:val="32"/>
          <w:lang w:val="en-US"/>
        </w:rPr>
        <w:t>0332</w:t>
      </w:r>
    </w:p>
    <w:p w:rsidR="000074A3" w:rsidRPr="002729B3" w:rsidRDefault="00E92C5B" w:rsidP="000074A3">
      <w:pPr>
        <w:pStyle w:val="3GPPHeader"/>
        <w:rPr>
          <w:rFonts w:cs="Arial"/>
          <w:lang w:val="en-US"/>
        </w:rPr>
      </w:pPr>
      <w:r>
        <w:rPr>
          <w:rFonts w:cs="Arial"/>
          <w:lang w:val="en-US"/>
        </w:rPr>
        <w:t>Athens</w:t>
      </w:r>
      <w:r w:rsidR="006A3DA6" w:rsidRPr="002729B3">
        <w:rPr>
          <w:rFonts w:cs="Arial"/>
          <w:lang w:val="en-US"/>
        </w:rPr>
        <w:t xml:space="preserve">, </w:t>
      </w:r>
      <w:r>
        <w:rPr>
          <w:rFonts w:cs="Arial"/>
          <w:lang w:val="en-US"/>
        </w:rPr>
        <w:t>Greece</w:t>
      </w:r>
      <w:r w:rsidR="002729B3" w:rsidRPr="002729B3">
        <w:rPr>
          <w:rFonts w:cs="Arial"/>
          <w:lang w:val="en-US"/>
        </w:rPr>
        <w:t xml:space="preserve">, </w:t>
      </w:r>
      <w:r>
        <w:rPr>
          <w:rFonts w:cs="Arial"/>
          <w:lang w:val="en-US"/>
        </w:rPr>
        <w:t xml:space="preserve">February </w:t>
      </w:r>
      <w:r w:rsidR="0055123B">
        <w:rPr>
          <w:rFonts w:cs="Arial"/>
          <w:lang w:val="en-US"/>
        </w:rPr>
        <w:t>9</w:t>
      </w:r>
      <w:r w:rsidR="00B25246" w:rsidRPr="00B25246">
        <w:rPr>
          <w:rFonts w:cs="Arial"/>
          <w:vertAlign w:val="superscript"/>
          <w:lang w:val="en-US"/>
        </w:rPr>
        <w:t>th</w:t>
      </w:r>
      <w:r>
        <w:rPr>
          <w:rFonts w:cs="Arial"/>
          <w:lang w:val="en-US"/>
        </w:rPr>
        <w:t xml:space="preserve"> – </w:t>
      </w:r>
      <w:r w:rsidR="00B25246">
        <w:rPr>
          <w:rFonts w:cs="Arial"/>
          <w:lang w:val="en-US"/>
        </w:rPr>
        <w:t>13</w:t>
      </w:r>
      <w:bookmarkStart w:id="0" w:name="_GoBack"/>
      <w:bookmarkEnd w:id="0"/>
      <w:r w:rsidR="00B25246">
        <w:rPr>
          <w:rFonts w:cs="Arial"/>
          <w:vertAlign w:val="superscript"/>
          <w:lang w:val="en-US"/>
        </w:rPr>
        <w:t>st</w:t>
      </w:r>
      <w:r w:rsidR="002729B3">
        <w:rPr>
          <w:rFonts w:cs="Arial"/>
          <w:lang w:val="en-US"/>
        </w:rPr>
        <w:t xml:space="preserve">, </w:t>
      </w:r>
      <w:r>
        <w:rPr>
          <w:rFonts w:cs="Arial"/>
          <w:lang w:val="en-US"/>
        </w:rPr>
        <w:t>2015</w:t>
      </w:r>
    </w:p>
    <w:p w:rsidR="000074A3" w:rsidRPr="002729B3" w:rsidRDefault="000074A3" w:rsidP="000074A3">
      <w:pPr>
        <w:pStyle w:val="3GPPHeader"/>
        <w:rPr>
          <w:rFonts w:cs="Arial"/>
          <w:lang w:val="en-US"/>
        </w:rPr>
      </w:pP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435136">
        <w:rPr>
          <w:rFonts w:cs="Arial"/>
          <w:sz w:val="22"/>
          <w:szCs w:val="22"/>
          <w:lang w:val="en-US"/>
        </w:rPr>
        <w:t>6.2.1</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E92C5B">
        <w:rPr>
          <w:rFonts w:cs="Arial"/>
          <w:sz w:val="22"/>
          <w:szCs w:val="22"/>
          <w:lang w:val="en-US"/>
        </w:rPr>
        <w:t>PCH coverage extension</w:t>
      </w:r>
      <w:r w:rsidR="008A4340">
        <w:rPr>
          <w:rFonts w:cs="Arial"/>
          <w:sz w:val="22"/>
          <w:szCs w:val="22"/>
          <w:lang w:val="en-US"/>
        </w:rPr>
        <w:t xml:space="preserve"> using smaller transport block size</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55123B" w:rsidRDefault="0055123B" w:rsidP="0055123B">
      <w:pPr>
        <w:rPr>
          <w:rFonts w:cs="Arial"/>
        </w:rPr>
      </w:pPr>
      <w:r>
        <w:rPr>
          <w:rFonts w:cs="Arial"/>
        </w:rPr>
        <w:t>At</w:t>
      </w:r>
      <w:r w:rsidRPr="008E6AE2">
        <w:rPr>
          <w:rFonts w:cs="Arial"/>
        </w:rPr>
        <w:t xml:space="preserve"> RAN1 #78bis, the study it</w:t>
      </w:r>
      <w:r>
        <w:rPr>
          <w:rFonts w:cs="Arial"/>
        </w:rPr>
        <w:t>em</w:t>
      </w:r>
      <w:r w:rsidRPr="008E6AE2">
        <w:rPr>
          <w:rFonts w:cs="Arial"/>
        </w:rPr>
        <w:t xml:space="preserve"> on small data transmissions for UMTS was initiated [1]. </w:t>
      </w:r>
      <w:r>
        <w:rPr>
          <w:rFonts w:cs="Arial"/>
        </w:rPr>
        <w:t xml:space="preserve">As part of this study item, a set of </w:t>
      </w:r>
      <w:r w:rsidRPr="00AE1038">
        <w:rPr>
          <w:rFonts w:cs="Arial"/>
        </w:rPr>
        <w:t xml:space="preserve">coverage evaluations </w:t>
      </w:r>
      <w:r>
        <w:rPr>
          <w:rFonts w:cs="Arial"/>
        </w:rPr>
        <w:t>for</w:t>
      </w:r>
      <w:r w:rsidRPr="00AE1038">
        <w:rPr>
          <w:rFonts w:cs="Arial"/>
        </w:rPr>
        <w:t xml:space="preserve"> </w:t>
      </w:r>
      <w:r>
        <w:rPr>
          <w:rFonts w:cs="Arial"/>
        </w:rPr>
        <w:t xml:space="preserve">several </w:t>
      </w:r>
      <w:r w:rsidRPr="00AE1038">
        <w:rPr>
          <w:rFonts w:cs="Arial"/>
        </w:rPr>
        <w:t>physical channels were presented and discussed</w:t>
      </w:r>
      <w:r>
        <w:rPr>
          <w:rFonts w:cs="Arial"/>
        </w:rPr>
        <w:t xml:space="preserve"> in RAN1 #79</w:t>
      </w:r>
      <w:r w:rsidR="007C4794">
        <w:rPr>
          <w:rFonts w:cs="Arial"/>
        </w:rPr>
        <w:t>. There</w:t>
      </w:r>
      <w:r>
        <w:rPr>
          <w:rFonts w:cs="Arial"/>
        </w:rPr>
        <w:t xml:space="preserve"> it was identified that </w:t>
      </w:r>
      <w:r>
        <w:rPr>
          <w:rFonts w:eastAsia="MS Mincho"/>
          <w:lang w:eastAsia="ja-JP"/>
        </w:rPr>
        <w:t xml:space="preserve">PCH over S-CCPCH is one of the channels that would benefit from a coverage improvement to balance </w:t>
      </w:r>
      <w:r w:rsidR="007C4794">
        <w:rPr>
          <w:rFonts w:eastAsia="MS Mincho"/>
          <w:lang w:eastAsia="ja-JP"/>
        </w:rPr>
        <w:t>its</w:t>
      </w:r>
      <w:r>
        <w:rPr>
          <w:rFonts w:eastAsia="MS Mincho"/>
          <w:lang w:eastAsia="ja-JP"/>
        </w:rPr>
        <w:t xml:space="preserve"> coverage with </w:t>
      </w:r>
      <w:r w:rsidR="007C4794">
        <w:rPr>
          <w:rFonts w:eastAsia="MS Mincho"/>
          <w:lang w:eastAsia="ja-JP"/>
        </w:rPr>
        <w:t>respect to</w:t>
      </w:r>
      <w:r>
        <w:rPr>
          <w:rFonts w:eastAsia="MS Mincho"/>
          <w:lang w:eastAsia="ja-JP"/>
        </w:rPr>
        <w:t xml:space="preserve"> other </w:t>
      </w:r>
      <w:r w:rsidR="007C4794">
        <w:rPr>
          <w:rFonts w:eastAsia="MS Mincho"/>
          <w:lang w:eastAsia="ja-JP"/>
        </w:rPr>
        <w:t xml:space="preserve">physical </w:t>
      </w:r>
      <w:r>
        <w:rPr>
          <w:rFonts w:eastAsia="MS Mincho"/>
          <w:lang w:eastAsia="ja-JP"/>
        </w:rPr>
        <w:t>channels</w:t>
      </w:r>
      <w:r w:rsidR="007C4794">
        <w:rPr>
          <w:rFonts w:eastAsia="MS Mincho"/>
          <w:lang w:eastAsia="ja-JP"/>
        </w:rPr>
        <w:t xml:space="preserve"> which already offer a better coverage</w:t>
      </w:r>
      <w:r>
        <w:rPr>
          <w:rFonts w:cs="Arial"/>
        </w:rPr>
        <w:t>.</w:t>
      </w:r>
    </w:p>
    <w:p w:rsidR="0055123B" w:rsidRDefault="0055123B" w:rsidP="0055123B">
      <w:pPr>
        <w:rPr>
          <w:rFonts w:cs="Arial"/>
        </w:rPr>
      </w:pPr>
      <w:r>
        <w:rPr>
          <w:rFonts w:cs="Arial"/>
        </w:rPr>
        <w:t xml:space="preserve">This contribution discusses how </w:t>
      </w:r>
      <w:r w:rsidR="007C4794">
        <w:rPr>
          <w:rFonts w:cs="Arial"/>
        </w:rPr>
        <w:t xml:space="preserve">the </w:t>
      </w:r>
      <w:r>
        <w:rPr>
          <w:rFonts w:cs="Arial"/>
        </w:rPr>
        <w:t>coverage of PCH on S-CCPCH can be extended by supporting an alternative smaller transport block size.</w:t>
      </w:r>
    </w:p>
    <w:p w:rsidR="00240D9E" w:rsidRDefault="009F1477" w:rsidP="00240D9E">
      <w:pPr>
        <w:pStyle w:val="Heading1"/>
      </w:pPr>
      <w:r>
        <w:t>Contents on the PCH</w:t>
      </w:r>
    </w:p>
    <w:p w:rsidR="009E6D3C" w:rsidRPr="00AE7565" w:rsidRDefault="00573B2C" w:rsidP="009E6D3C">
      <w:pPr>
        <w:rPr>
          <w:color w:val="000000"/>
        </w:rPr>
      </w:pPr>
      <w:r>
        <w:t xml:space="preserve">The RRC messages transmitted on the PCH are PAGING TYPE 1 messages on the PCCH logical channel. </w:t>
      </w:r>
      <w:r w:rsidR="009E6D3C" w:rsidRPr="00AE7565">
        <w:rPr>
          <w:color w:val="000000"/>
        </w:rPr>
        <w:t>One or several UEs</w:t>
      </w:r>
      <w:r>
        <w:rPr>
          <w:color w:val="000000"/>
        </w:rPr>
        <w:t xml:space="preserve"> (up to 8)</w:t>
      </w:r>
      <w:r w:rsidR="009E6D3C" w:rsidRPr="00AE7565">
        <w:rPr>
          <w:color w:val="000000"/>
        </w:rPr>
        <w:t>, can be paged in one message</w:t>
      </w:r>
      <w:r>
        <w:rPr>
          <w:color w:val="000000"/>
        </w:rPr>
        <w:t xml:space="preserve"> using different </w:t>
      </w:r>
      <w:r>
        <w:rPr>
          <w:i/>
          <w:color w:val="000000"/>
        </w:rPr>
        <w:t>paging records</w:t>
      </w:r>
      <w:r>
        <w:rPr>
          <w:color w:val="000000"/>
        </w:rPr>
        <w:t xml:space="preserve">. The message </w:t>
      </w:r>
      <w:r w:rsidR="009E6D3C" w:rsidRPr="00AE7565">
        <w:rPr>
          <w:color w:val="000000"/>
        </w:rPr>
        <w:t xml:space="preserve">can </w:t>
      </w:r>
      <w:r>
        <w:rPr>
          <w:color w:val="000000"/>
        </w:rPr>
        <w:t xml:space="preserve">also </w:t>
      </w:r>
      <w:r w:rsidR="009E6D3C" w:rsidRPr="00AE7565">
        <w:rPr>
          <w:color w:val="000000"/>
        </w:rPr>
        <w:t>contain other information.</w:t>
      </w:r>
    </w:p>
    <w:p w:rsidR="009E6D3C" w:rsidRPr="00AE7565" w:rsidRDefault="00573B2C" w:rsidP="00573B2C">
      <w:pPr>
        <w:pStyle w:val="B1"/>
        <w:ind w:left="0" w:firstLine="0"/>
        <w:rPr>
          <w:color w:val="000000"/>
        </w:rPr>
      </w:pPr>
      <w:r>
        <w:t>The contents of the PAGI</w:t>
      </w:r>
      <w:r w:rsidR="007948E1">
        <w:t>N</w:t>
      </w:r>
      <w:r>
        <w:t>G TYPE 1 message are outlined below (from TS 25.331):</w:t>
      </w:r>
    </w:p>
    <w:tbl>
      <w:tblPr>
        <w:tblW w:w="89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34"/>
        <w:gridCol w:w="924"/>
        <w:gridCol w:w="1036"/>
        <w:gridCol w:w="2155"/>
        <w:gridCol w:w="1596"/>
      </w:tblGrid>
      <w:tr w:rsidR="009E6D3C" w:rsidRPr="00AE7565" w:rsidTr="00412404">
        <w:tc>
          <w:tcPr>
            <w:tcW w:w="2268" w:type="dxa"/>
          </w:tcPr>
          <w:p w:rsidR="009E6D3C" w:rsidRPr="00AE7565" w:rsidRDefault="009E6D3C" w:rsidP="00412404">
            <w:pPr>
              <w:pStyle w:val="TAH"/>
              <w:keepNext w:val="0"/>
              <w:keepLines w:val="0"/>
              <w:rPr>
                <w:color w:val="000000"/>
              </w:rPr>
            </w:pPr>
            <w:r w:rsidRPr="00AE7565">
              <w:rPr>
                <w:color w:val="000000"/>
              </w:rPr>
              <w:t>Information Element/Group name</w:t>
            </w:r>
          </w:p>
        </w:tc>
        <w:tc>
          <w:tcPr>
            <w:tcW w:w="934" w:type="dxa"/>
          </w:tcPr>
          <w:p w:rsidR="009E6D3C" w:rsidRPr="00AE7565" w:rsidRDefault="009E6D3C" w:rsidP="00412404">
            <w:pPr>
              <w:pStyle w:val="TAH"/>
              <w:keepNext w:val="0"/>
              <w:keepLines w:val="0"/>
              <w:rPr>
                <w:color w:val="000000"/>
              </w:rPr>
            </w:pPr>
            <w:r w:rsidRPr="00AE7565">
              <w:rPr>
                <w:color w:val="000000"/>
              </w:rPr>
              <w:t>Need</w:t>
            </w:r>
          </w:p>
        </w:tc>
        <w:tc>
          <w:tcPr>
            <w:tcW w:w="924" w:type="dxa"/>
          </w:tcPr>
          <w:p w:rsidR="009E6D3C" w:rsidRPr="00AE7565" w:rsidRDefault="009E6D3C" w:rsidP="00412404">
            <w:pPr>
              <w:pStyle w:val="TAH"/>
              <w:keepNext w:val="0"/>
              <w:keepLines w:val="0"/>
              <w:rPr>
                <w:color w:val="000000"/>
              </w:rPr>
            </w:pPr>
            <w:r w:rsidRPr="00AE7565">
              <w:rPr>
                <w:color w:val="000000"/>
              </w:rPr>
              <w:t>Multi</w:t>
            </w:r>
          </w:p>
        </w:tc>
        <w:tc>
          <w:tcPr>
            <w:tcW w:w="1036" w:type="dxa"/>
          </w:tcPr>
          <w:p w:rsidR="009E6D3C" w:rsidRPr="00AE7565" w:rsidRDefault="009E6D3C" w:rsidP="00412404">
            <w:pPr>
              <w:pStyle w:val="TAH"/>
              <w:keepNext w:val="0"/>
              <w:keepLines w:val="0"/>
              <w:rPr>
                <w:color w:val="000000"/>
              </w:rPr>
            </w:pPr>
            <w:r w:rsidRPr="00AE7565">
              <w:rPr>
                <w:color w:val="000000"/>
              </w:rPr>
              <w:t>Type and reference</w:t>
            </w:r>
          </w:p>
        </w:tc>
        <w:tc>
          <w:tcPr>
            <w:tcW w:w="2155" w:type="dxa"/>
          </w:tcPr>
          <w:p w:rsidR="009E6D3C" w:rsidRPr="00AE7565" w:rsidRDefault="009E6D3C" w:rsidP="00412404">
            <w:pPr>
              <w:pStyle w:val="TAH"/>
              <w:keepNext w:val="0"/>
              <w:keepLines w:val="0"/>
              <w:rPr>
                <w:color w:val="000000"/>
              </w:rPr>
            </w:pPr>
            <w:r w:rsidRPr="00AE7565">
              <w:rPr>
                <w:color w:val="000000"/>
              </w:rPr>
              <w:t>Semantics description</w:t>
            </w:r>
          </w:p>
        </w:tc>
        <w:tc>
          <w:tcPr>
            <w:tcW w:w="1596" w:type="dxa"/>
          </w:tcPr>
          <w:p w:rsidR="009E6D3C" w:rsidRPr="00AE7565" w:rsidRDefault="009E6D3C" w:rsidP="00412404">
            <w:pPr>
              <w:pStyle w:val="TAH"/>
              <w:keepNext w:val="0"/>
              <w:keepLines w:val="0"/>
              <w:rPr>
                <w:color w:val="000000"/>
              </w:rPr>
            </w:pPr>
            <w:r w:rsidRPr="00AE7565">
              <w:rPr>
                <w:color w:val="000000"/>
              </w:rPr>
              <w:t>Version</w:t>
            </w:r>
          </w:p>
        </w:tc>
      </w:tr>
      <w:tr w:rsidR="009E6D3C" w:rsidRPr="00AE7565" w:rsidTr="00412404">
        <w:tc>
          <w:tcPr>
            <w:tcW w:w="2268" w:type="dxa"/>
          </w:tcPr>
          <w:p w:rsidR="009E6D3C" w:rsidRPr="00AE7565" w:rsidRDefault="009E6D3C" w:rsidP="00412404">
            <w:pPr>
              <w:pStyle w:val="TALCharChar"/>
              <w:keepNext w:val="0"/>
              <w:keepLines w:val="0"/>
              <w:rPr>
                <w:color w:val="000000"/>
              </w:rPr>
            </w:pPr>
            <w:r w:rsidRPr="00AE7565">
              <w:rPr>
                <w:color w:val="000000"/>
              </w:rPr>
              <w:t>Message Type</w:t>
            </w:r>
          </w:p>
        </w:tc>
        <w:tc>
          <w:tcPr>
            <w:tcW w:w="934" w:type="dxa"/>
          </w:tcPr>
          <w:p w:rsidR="009E6D3C" w:rsidRPr="00AE7565" w:rsidRDefault="009E6D3C" w:rsidP="00412404">
            <w:pPr>
              <w:pStyle w:val="TALCharChar"/>
              <w:keepNext w:val="0"/>
              <w:keepLines w:val="0"/>
              <w:rPr>
                <w:color w:val="000000"/>
              </w:rPr>
            </w:pPr>
            <w:r w:rsidRPr="00AE7565">
              <w:rPr>
                <w:color w:val="000000"/>
              </w:rPr>
              <w:t>MP</w:t>
            </w: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r w:rsidRPr="00AE7565">
              <w:rPr>
                <w:color w:val="000000"/>
              </w:rPr>
              <w:t>Message Type</w:t>
            </w: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b/>
                <w:color w:val="000000"/>
              </w:rPr>
            </w:pPr>
            <w:r w:rsidRPr="00AE7565">
              <w:rPr>
                <w:b/>
                <w:color w:val="000000"/>
              </w:rPr>
              <w:t>UE Information elements</w:t>
            </w:r>
          </w:p>
        </w:tc>
        <w:tc>
          <w:tcPr>
            <w:tcW w:w="934" w:type="dxa"/>
          </w:tcPr>
          <w:p w:rsidR="009E6D3C" w:rsidRPr="00AE7565" w:rsidRDefault="009E6D3C" w:rsidP="00412404">
            <w:pPr>
              <w:pStyle w:val="TALCharChar"/>
              <w:keepNext w:val="0"/>
              <w:keepLines w:val="0"/>
              <w:rPr>
                <w:color w:val="000000"/>
              </w:rPr>
            </w:pP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color w:val="000000"/>
              </w:rPr>
            </w:pPr>
            <w:r w:rsidRPr="00AE7565">
              <w:rPr>
                <w:color w:val="000000"/>
              </w:rPr>
              <w:t>Paging record list</w:t>
            </w:r>
          </w:p>
        </w:tc>
        <w:tc>
          <w:tcPr>
            <w:tcW w:w="934" w:type="dxa"/>
          </w:tcPr>
          <w:p w:rsidR="009E6D3C" w:rsidRPr="00AE7565" w:rsidRDefault="009E6D3C" w:rsidP="00412404">
            <w:pPr>
              <w:pStyle w:val="TALCharChar"/>
              <w:keepNext w:val="0"/>
              <w:keepLines w:val="0"/>
              <w:rPr>
                <w:color w:val="000000"/>
              </w:rPr>
            </w:pPr>
            <w:r w:rsidRPr="00AE7565">
              <w:rPr>
                <w:color w:val="000000"/>
              </w:rPr>
              <w:t>OP</w:t>
            </w:r>
          </w:p>
        </w:tc>
        <w:tc>
          <w:tcPr>
            <w:tcW w:w="924" w:type="dxa"/>
          </w:tcPr>
          <w:p w:rsidR="009E6D3C" w:rsidRPr="00AE7565" w:rsidRDefault="009E6D3C" w:rsidP="00573B2C">
            <w:pPr>
              <w:pStyle w:val="TALCharChar"/>
              <w:keepNext w:val="0"/>
              <w:keepLines w:val="0"/>
              <w:rPr>
                <w:color w:val="000000"/>
              </w:rPr>
            </w:pPr>
            <w:r w:rsidRPr="00AE7565">
              <w:rPr>
                <w:color w:val="000000"/>
              </w:rPr>
              <w:t xml:space="preserve">1 to </w:t>
            </w:r>
            <w:r w:rsidR="00573B2C">
              <w:rPr>
                <w:color w:val="000000"/>
              </w:rPr>
              <w:t>8</w:t>
            </w:r>
          </w:p>
        </w:tc>
        <w:tc>
          <w:tcPr>
            <w:tcW w:w="1036" w:type="dxa"/>
          </w:tcPr>
          <w:p w:rsidR="009E6D3C" w:rsidRPr="00AE7565" w:rsidRDefault="009E6D3C" w:rsidP="00412404">
            <w:pPr>
              <w:pStyle w:val="TALCharChar"/>
              <w:keepNext w:val="0"/>
              <w:keepLines w:val="0"/>
              <w:rPr>
                <w:color w:val="000000"/>
              </w:rPr>
            </w:pP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color w:val="000000"/>
              </w:rPr>
            </w:pPr>
            <w:r w:rsidRPr="00AE7565">
              <w:rPr>
                <w:color w:val="000000"/>
              </w:rPr>
              <w:t>&gt;Paging record</w:t>
            </w:r>
          </w:p>
        </w:tc>
        <w:tc>
          <w:tcPr>
            <w:tcW w:w="934" w:type="dxa"/>
          </w:tcPr>
          <w:p w:rsidR="009E6D3C" w:rsidRPr="00AE7565" w:rsidRDefault="009E6D3C" w:rsidP="00412404">
            <w:pPr>
              <w:pStyle w:val="TALCharChar"/>
              <w:keepNext w:val="0"/>
              <w:keepLines w:val="0"/>
              <w:rPr>
                <w:color w:val="000000"/>
              </w:rPr>
            </w:pPr>
            <w:r w:rsidRPr="00AE7565">
              <w:rPr>
                <w:color w:val="000000"/>
              </w:rPr>
              <w:t>MP</w:t>
            </w: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r w:rsidRPr="00AE7565">
              <w:rPr>
                <w:color w:val="000000"/>
              </w:rPr>
              <w:t>Paging record 10.3.3.23</w:t>
            </w: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b/>
                <w:color w:val="000000"/>
              </w:rPr>
            </w:pPr>
            <w:r w:rsidRPr="00AE7565">
              <w:rPr>
                <w:b/>
                <w:color w:val="000000"/>
              </w:rPr>
              <w:t>Other information elements</w:t>
            </w:r>
          </w:p>
        </w:tc>
        <w:tc>
          <w:tcPr>
            <w:tcW w:w="934" w:type="dxa"/>
          </w:tcPr>
          <w:p w:rsidR="009E6D3C" w:rsidRPr="00AE7565" w:rsidRDefault="009E6D3C" w:rsidP="00412404">
            <w:pPr>
              <w:pStyle w:val="TALCharChar"/>
              <w:keepNext w:val="0"/>
              <w:keepLines w:val="0"/>
              <w:rPr>
                <w:color w:val="000000"/>
              </w:rPr>
            </w:pP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color w:val="000000"/>
              </w:rPr>
            </w:pPr>
            <w:r w:rsidRPr="00AE7565">
              <w:rPr>
                <w:color w:val="000000"/>
              </w:rPr>
              <w:t>BCCH modification info</w:t>
            </w:r>
          </w:p>
        </w:tc>
        <w:tc>
          <w:tcPr>
            <w:tcW w:w="934" w:type="dxa"/>
          </w:tcPr>
          <w:p w:rsidR="009E6D3C" w:rsidRPr="00AE7565" w:rsidRDefault="009E6D3C" w:rsidP="00412404">
            <w:pPr>
              <w:pStyle w:val="TALCharChar"/>
              <w:keepNext w:val="0"/>
              <w:keepLines w:val="0"/>
              <w:rPr>
                <w:color w:val="000000"/>
              </w:rPr>
            </w:pPr>
            <w:r w:rsidRPr="00AE7565">
              <w:rPr>
                <w:color w:val="000000"/>
              </w:rPr>
              <w:t>OP</w:t>
            </w: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r w:rsidRPr="00AE7565">
              <w:rPr>
                <w:color w:val="000000"/>
              </w:rPr>
              <w:t>BCCH modification info 10.3.8.1</w:t>
            </w: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p>
        </w:tc>
      </w:tr>
      <w:tr w:rsidR="009E6D3C" w:rsidRPr="00AE7565" w:rsidTr="00412404">
        <w:tc>
          <w:tcPr>
            <w:tcW w:w="2268" w:type="dxa"/>
          </w:tcPr>
          <w:p w:rsidR="009E6D3C" w:rsidRPr="00AE7565" w:rsidRDefault="009E6D3C" w:rsidP="00412404">
            <w:pPr>
              <w:pStyle w:val="TALCharChar"/>
              <w:keepNext w:val="0"/>
              <w:keepLines w:val="0"/>
              <w:rPr>
                <w:color w:val="000000"/>
              </w:rPr>
            </w:pPr>
            <w:r w:rsidRPr="00AE7565">
              <w:t>ETWS information</w:t>
            </w:r>
          </w:p>
        </w:tc>
        <w:tc>
          <w:tcPr>
            <w:tcW w:w="934" w:type="dxa"/>
          </w:tcPr>
          <w:p w:rsidR="009E6D3C" w:rsidRPr="00AE7565" w:rsidRDefault="009E6D3C" w:rsidP="00412404">
            <w:pPr>
              <w:pStyle w:val="TALCharChar"/>
              <w:keepNext w:val="0"/>
              <w:keepLines w:val="0"/>
              <w:rPr>
                <w:color w:val="000000"/>
              </w:rPr>
            </w:pPr>
            <w:r w:rsidRPr="00AE7565">
              <w:t>OP</w:t>
            </w:r>
          </w:p>
        </w:tc>
        <w:tc>
          <w:tcPr>
            <w:tcW w:w="924" w:type="dxa"/>
          </w:tcPr>
          <w:p w:rsidR="009E6D3C" w:rsidRPr="00AE7565" w:rsidRDefault="009E6D3C" w:rsidP="00412404">
            <w:pPr>
              <w:pStyle w:val="TALCharChar"/>
              <w:keepNext w:val="0"/>
              <w:keepLines w:val="0"/>
              <w:rPr>
                <w:color w:val="000000"/>
              </w:rPr>
            </w:pPr>
          </w:p>
        </w:tc>
        <w:tc>
          <w:tcPr>
            <w:tcW w:w="1036" w:type="dxa"/>
          </w:tcPr>
          <w:p w:rsidR="009E6D3C" w:rsidRPr="00AE7565" w:rsidRDefault="009E6D3C" w:rsidP="00412404">
            <w:pPr>
              <w:pStyle w:val="TALCharChar"/>
              <w:keepNext w:val="0"/>
              <w:keepLines w:val="0"/>
              <w:rPr>
                <w:color w:val="000000"/>
              </w:rPr>
            </w:pPr>
            <w:r w:rsidRPr="00AE7565">
              <w:t>ETWS information 10.3.8.4ea</w:t>
            </w:r>
          </w:p>
        </w:tc>
        <w:tc>
          <w:tcPr>
            <w:tcW w:w="2155" w:type="dxa"/>
          </w:tcPr>
          <w:p w:rsidR="009E6D3C" w:rsidRPr="00AE7565" w:rsidRDefault="009E6D3C" w:rsidP="00412404">
            <w:pPr>
              <w:pStyle w:val="TALCharChar"/>
              <w:keepNext w:val="0"/>
              <w:keepLines w:val="0"/>
              <w:rPr>
                <w:color w:val="000000"/>
              </w:rPr>
            </w:pPr>
          </w:p>
        </w:tc>
        <w:tc>
          <w:tcPr>
            <w:tcW w:w="1596" w:type="dxa"/>
          </w:tcPr>
          <w:p w:rsidR="009E6D3C" w:rsidRPr="00AE7565" w:rsidRDefault="009E6D3C" w:rsidP="00412404">
            <w:pPr>
              <w:pStyle w:val="TALCharChar"/>
              <w:keepNext w:val="0"/>
              <w:keepLines w:val="0"/>
              <w:rPr>
                <w:color w:val="000000"/>
              </w:rPr>
            </w:pPr>
            <w:r w:rsidRPr="00AE7565">
              <w:t>REL-8</w:t>
            </w:r>
          </w:p>
        </w:tc>
      </w:tr>
    </w:tbl>
    <w:p w:rsidR="009E6D3C" w:rsidRPr="00AE7565" w:rsidRDefault="009E6D3C" w:rsidP="009E6D3C">
      <w:pPr>
        <w:rPr>
          <w:color w:val="000000"/>
        </w:rPr>
      </w:pPr>
    </w:p>
    <w:p w:rsidR="00573B2C" w:rsidRDefault="00573B2C" w:rsidP="009E6D3C">
      <w:pPr>
        <w:rPr>
          <w:color w:val="000000"/>
        </w:rPr>
      </w:pPr>
      <w:r>
        <w:rPr>
          <w:color w:val="000000"/>
        </w:rPr>
        <w:t xml:space="preserve">The size of the paging records varies depending on what </w:t>
      </w:r>
      <w:r w:rsidR="00F5485E">
        <w:rPr>
          <w:color w:val="000000"/>
        </w:rPr>
        <w:t xml:space="preserve">identity that is used to address the UE. A UTRAN U-RNTI identity is 32 bits long, while a CN </w:t>
      </w:r>
      <w:r w:rsidR="00F5485E" w:rsidRPr="00AE7565">
        <w:rPr>
          <w:color w:val="000000"/>
        </w:rPr>
        <w:t>IMSI (GSM-MAP)</w:t>
      </w:r>
      <w:r w:rsidR="00F5485E">
        <w:rPr>
          <w:color w:val="000000"/>
        </w:rPr>
        <w:t xml:space="preserve"> identity is </w:t>
      </w:r>
      <w:r w:rsidR="00F5485E" w:rsidRPr="00F5485E">
        <w:rPr>
          <w:color w:val="000000"/>
        </w:rPr>
        <w:t>24-84 bits long</w:t>
      </w:r>
      <w:r w:rsidR="00F5485E">
        <w:rPr>
          <w:color w:val="000000"/>
        </w:rPr>
        <w:t xml:space="preserve"> (typically 60). Hence, the number of paging records that can be fitted into one PCH transport block (which is of fixed size) will depend on the identities used.</w:t>
      </w:r>
    </w:p>
    <w:p w:rsidR="009E6D3C" w:rsidRDefault="009E6D3C" w:rsidP="009E6D3C">
      <w:pPr>
        <w:rPr>
          <w:color w:val="000000"/>
        </w:rPr>
      </w:pPr>
      <w:r w:rsidRPr="00AE7565">
        <w:rPr>
          <w:color w:val="000000"/>
        </w:rPr>
        <w:lastRenderedPageBreak/>
        <w:t xml:space="preserve">If the encoded message does not fill a </w:t>
      </w:r>
      <w:r w:rsidR="00573B2C">
        <w:rPr>
          <w:color w:val="000000"/>
        </w:rPr>
        <w:t xml:space="preserve">PCH </w:t>
      </w:r>
      <w:r w:rsidRPr="00AE7565">
        <w:rPr>
          <w:color w:val="000000"/>
        </w:rPr>
        <w:t>transport block, the RRC layer shall add pad</w:t>
      </w:r>
      <w:r w:rsidR="00573B2C">
        <w:rPr>
          <w:color w:val="000000"/>
        </w:rPr>
        <w:t>ding</w:t>
      </w:r>
      <w:r w:rsidRPr="00AE7565">
        <w:rPr>
          <w:color w:val="000000"/>
        </w:rPr>
        <w:t>.</w:t>
      </w:r>
      <w:r w:rsidR="00573B2C">
        <w:rPr>
          <w:color w:val="000000"/>
        </w:rPr>
        <w:t xml:space="preserve"> </w:t>
      </w:r>
    </w:p>
    <w:p w:rsidR="00F5485E" w:rsidRDefault="00F5485E" w:rsidP="009E6D3C">
      <w:pPr>
        <w:rPr>
          <w:color w:val="000000"/>
        </w:rPr>
      </w:pPr>
      <w:r>
        <w:rPr>
          <w:color w:val="000000"/>
        </w:rPr>
        <w:t>Assuming a typical PCH transport block size of 240 bits, 5 paging records can be fitted if U-RNTI identities are used, while only 3 paging records fit if long IMSI identities are used. Note that not all paging records in one PAGING TYPE 1 message need to use the same type of UE identity.</w:t>
      </w:r>
    </w:p>
    <w:p w:rsidR="001B348C" w:rsidRDefault="001B348C" w:rsidP="009E6D3C">
      <w:pPr>
        <w:rPr>
          <w:color w:val="000000"/>
        </w:rPr>
      </w:pPr>
      <w:r>
        <w:rPr>
          <w:color w:val="000000"/>
        </w:rPr>
        <w:t xml:space="preserve">It is the RNC that is in charge of deciding how many and which paging records to put into a particular PCH transport block. It shall be noted that in many deployments the paging capacity is fairly high, which leads to a need of supporting multiple paging records per transport block.  </w:t>
      </w:r>
    </w:p>
    <w:p w:rsidR="004A1365" w:rsidRDefault="004A1365" w:rsidP="004A1365">
      <w:pPr>
        <w:pStyle w:val="Heading1"/>
      </w:pPr>
      <w:r>
        <w:t>PCH performance as function of transport block size</w:t>
      </w:r>
    </w:p>
    <w:p w:rsidR="00433A23" w:rsidRDefault="004A1365" w:rsidP="004A1365">
      <w:r>
        <w:t xml:space="preserve">The energy needed to transmit a PCH transport block </w:t>
      </w:r>
      <w:r w:rsidR="00433A23">
        <w:t>depends on the size of the transport block. The smaller the transport block, the lower the required transmit power.</w:t>
      </w:r>
    </w:p>
    <w:p w:rsidR="00433A23" w:rsidRDefault="00433A23" w:rsidP="004A1365">
      <w:r>
        <w:t xml:space="preserve">Example simulations have been performed for three different PCH mappings. In all three cases a SF128 S-CCPCH is used, and the TTI is 10 </w:t>
      </w:r>
      <w:proofErr w:type="spellStart"/>
      <w:proofErr w:type="gramStart"/>
      <w:r>
        <w:t>ms</w:t>
      </w:r>
      <w:proofErr w:type="spellEnd"/>
      <w:proofErr w:type="gramEnd"/>
      <w:r>
        <w:t>. However, two different transport block sizes have been studied, 240 bits and 80 bits</w:t>
      </w:r>
      <w:r w:rsidR="009A0F55">
        <w:t xml:space="preserve"> (which will be used as examples in the following)</w:t>
      </w:r>
      <w:r>
        <w:t>. Note that we assume that rate matching ensures that both the transport block sizes fill the physical channel completely, i.e. no DTX is used. This is the result if the PCH is defined to have only one non-zero transport format, either 1x240 or 1x80. A 16 bit CRC is added in both cases. For the 240 bit transport block we assume a rate 1/2 convolution code, making the PCH mapping identical to the one defined in TS 34.108, see Annex B</w:t>
      </w:r>
      <w:r w:rsidR="00E30431">
        <w:t xml:space="preserve">, and the results presented at RAN1 #79 </w:t>
      </w:r>
      <w:r w:rsidR="00E30431">
        <w:fldChar w:fldCharType="begin"/>
      </w:r>
      <w:r w:rsidR="00E30431">
        <w:instrText xml:space="preserve"> REF _Ref409003925 \r \h </w:instrText>
      </w:r>
      <w:r w:rsidR="00E30431">
        <w:fldChar w:fldCharType="separate"/>
      </w:r>
      <w:r w:rsidR="00E30431">
        <w:t>[3]</w:t>
      </w:r>
      <w:r w:rsidR="00E30431">
        <w:fldChar w:fldCharType="end"/>
      </w:r>
      <w:r>
        <w:t xml:space="preserve">. For the smaller transport block size there is room for a lower rate code, so both rate </w:t>
      </w:r>
      <w:r w:rsidR="001B348C">
        <w:t>1/2</w:t>
      </w:r>
      <w:r>
        <w:t xml:space="preserve"> and rate 1/3 have been simulated.</w:t>
      </w:r>
    </w:p>
    <w:p w:rsidR="00433A23" w:rsidRDefault="00433A23" w:rsidP="004A1365">
      <w:r>
        <w:t xml:space="preserve">The S-CCPCH transmit power is set to -0.5 dB from P-CPICH, and the rest of the simulation parameters follows the agreed </w:t>
      </w:r>
      <w:r w:rsidR="001B348C">
        <w:t>reference scenario, see Annex A.</w:t>
      </w:r>
      <w:r w:rsidR="00AC2AD2">
        <w:t xml:space="preserve"> The simulation results are shown in Figure 1 below.</w:t>
      </w:r>
    </w:p>
    <w:p w:rsidR="00AC2AD2" w:rsidRDefault="00AC2AD2" w:rsidP="004A1365"/>
    <w:p w:rsidR="000B5ECD" w:rsidRDefault="00AC2AD2" w:rsidP="000B5ECD">
      <w:pPr>
        <w:jc w:val="center"/>
      </w:pPr>
      <w:r>
        <w:rPr>
          <w:bCs/>
          <w:noProof/>
          <w:lang w:val="en-US" w:eastAsia="en-US"/>
        </w:rPr>
        <w:drawing>
          <wp:inline distT="0" distB="0" distL="0" distR="0" wp14:anchorId="17C83BB6" wp14:editId="77A77BD9">
            <wp:extent cx="3960796" cy="2926080"/>
            <wp:effectExtent l="0" t="0" r="1905" b="7620"/>
            <wp:docPr id="1" name="Picture 1" descr="cid:image001.png@01D03A36.2DF5E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03A36.2DF5E8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960604" cy="2925938"/>
                    </a:xfrm>
                    <a:prstGeom prst="rect">
                      <a:avLst/>
                    </a:prstGeom>
                    <a:noFill/>
                    <a:ln>
                      <a:noFill/>
                    </a:ln>
                  </pic:spPr>
                </pic:pic>
              </a:graphicData>
            </a:graphic>
          </wp:inline>
        </w:drawing>
      </w:r>
    </w:p>
    <w:p w:rsidR="000B5ECD" w:rsidRPr="000B5ECD" w:rsidRDefault="00AC2AD2" w:rsidP="000B5ECD">
      <w:pPr>
        <w:jc w:val="center"/>
        <w:rPr>
          <w:sz w:val="16"/>
          <w:szCs w:val="16"/>
        </w:rPr>
      </w:pPr>
      <w:r w:rsidRPr="000B5ECD">
        <w:rPr>
          <w:sz w:val="16"/>
          <w:szCs w:val="16"/>
        </w:rPr>
        <w:t xml:space="preserve">Figure 1: S-CCPCH BLER as </w:t>
      </w:r>
      <w:r w:rsidR="00BE7C24" w:rsidRPr="000B5ECD">
        <w:rPr>
          <w:sz w:val="16"/>
          <w:szCs w:val="16"/>
        </w:rPr>
        <w:t xml:space="preserve">a </w:t>
      </w:r>
      <w:r w:rsidRPr="000B5ECD">
        <w:rPr>
          <w:sz w:val="16"/>
          <w:szCs w:val="16"/>
        </w:rPr>
        <w:t xml:space="preserve">function of transport block size and </w:t>
      </w:r>
      <w:r w:rsidR="00E03896" w:rsidRPr="000B5ECD">
        <w:rPr>
          <w:sz w:val="16"/>
          <w:szCs w:val="16"/>
        </w:rPr>
        <w:t xml:space="preserve">convolutional coding </w:t>
      </w:r>
      <w:r w:rsidRPr="000B5ECD">
        <w:rPr>
          <w:sz w:val="16"/>
          <w:szCs w:val="16"/>
        </w:rPr>
        <w:t>rate</w:t>
      </w:r>
      <w:r w:rsidR="000B5ECD" w:rsidRPr="000B5ECD">
        <w:rPr>
          <w:sz w:val="16"/>
          <w:szCs w:val="16"/>
        </w:rPr>
        <w:t>.</w:t>
      </w:r>
    </w:p>
    <w:p w:rsidR="001B348C" w:rsidRPr="004A1365" w:rsidRDefault="001B348C" w:rsidP="000B5ECD">
      <w:r>
        <w:t xml:space="preserve">As can be seen from the results, the </w:t>
      </w:r>
      <w:r w:rsidR="00AC2AD2">
        <w:t>small</w:t>
      </w:r>
      <w:r>
        <w:t xml:space="preserve">er transport block size results in significantly lower required </w:t>
      </w:r>
      <w:proofErr w:type="spellStart"/>
      <w:r>
        <w:t>Ec</w:t>
      </w:r>
      <w:proofErr w:type="spellEnd"/>
      <w:r>
        <w:t>/</w:t>
      </w:r>
      <w:proofErr w:type="spellStart"/>
      <w:r>
        <w:t>Ior</w:t>
      </w:r>
      <w:proofErr w:type="spellEnd"/>
      <w:r>
        <w:t xml:space="preserve">, translating into a coverage gain for a fixed S-CCPCH power. </w:t>
      </w:r>
      <w:r w:rsidR="00AC2AD2">
        <w:t xml:space="preserve">The reduction in </w:t>
      </w:r>
      <w:proofErr w:type="spellStart"/>
      <w:r w:rsidR="00AC2AD2">
        <w:t>Ec</w:t>
      </w:r>
      <w:proofErr w:type="spellEnd"/>
      <w:r w:rsidR="00AC2AD2">
        <w:t>/</w:t>
      </w:r>
      <w:proofErr w:type="spellStart"/>
      <w:r w:rsidR="00AC2AD2">
        <w:t>Ior</w:t>
      </w:r>
      <w:proofErr w:type="spellEnd"/>
      <w:r w:rsidR="00AC2AD2">
        <w:t xml:space="preserve"> is close to the reduction in number of coded bits (80+16+8 compared to 240+16+8 corresponds to -4.0 dB). Using a lower coding rate of 1/3 instead of 1/2 and relying on a bit less repetition in rate matching provides an additional benefit, but on the whole this benefit is small in comparison to the major benefit of using a smaller transport block size.</w:t>
      </w:r>
    </w:p>
    <w:p w:rsidR="009E6D3C" w:rsidRPr="009F1477" w:rsidRDefault="009E6D3C" w:rsidP="000B5ECD"/>
    <w:p w:rsidR="00E92C5B" w:rsidRDefault="001B348C" w:rsidP="001B348C">
      <w:pPr>
        <w:pStyle w:val="Heading1"/>
      </w:pPr>
      <w:r>
        <w:lastRenderedPageBreak/>
        <w:t>Supporting multiple transport block sizes on PCH</w:t>
      </w:r>
    </w:p>
    <w:p w:rsidR="006F17D8" w:rsidRDefault="001B348C" w:rsidP="001B348C">
      <w:r>
        <w:t xml:space="preserve">As stated above, the paging capacity need (transmitted paging records per second), is fairly high in many deployments. This makes it unrealistic to </w:t>
      </w:r>
      <w:r w:rsidR="005550D0">
        <w:t xml:space="preserve">statically </w:t>
      </w:r>
      <w:r>
        <w:t>decrease the PCH transport block size from e.g. 240 bits to 80 bits to increase the coverage.</w:t>
      </w:r>
      <w:r w:rsidR="006F17D8">
        <w:t xml:space="preserve"> However, to be able to reach UEs in very bad coverage (which will be only a limited part of the UE population), it may be useful to be able to use a smaller transport block size when addressing these UEs.</w:t>
      </w:r>
    </w:p>
    <w:p w:rsidR="001B348C" w:rsidRDefault="006F17D8" w:rsidP="001B348C">
      <w:r>
        <w:t>The RNC may have prior knowledge of the radio situation in the UE, e.g. from an earlier CELL_FACH/CELL_DCH session, and use this knowledge to fit fewer paging records (e.g. only the one targeting the bad coverage UE) than normal into a smaller transport block to get a coverage benefit.</w:t>
      </w:r>
    </w:p>
    <w:p w:rsidR="006F17D8" w:rsidRDefault="006F17D8" w:rsidP="001B348C">
      <w:r>
        <w:t xml:space="preserve">The RNC could also let the selection of transport block size depend on the amount of repetition of pages. E.g., the RNC could have a rule that says that paging records are fitted into the normal (large) transport </w:t>
      </w:r>
      <w:r w:rsidR="005550D0">
        <w:t>block size, unless some paging record has been repeated a number of times already with no response from the UE, in which case the RNC will make a focused effort on getting that paging record through by putting the paging record in a smaller transport block.</w:t>
      </w:r>
    </w:p>
    <w:p w:rsidR="006F17D8" w:rsidRDefault="006F17D8" w:rsidP="001B348C">
      <w:r>
        <w:t>Note that the above mentioned methods rely on the RNC having knowledge about a particular UE’s whereabouts and the paging process for a particular UE. This is possible in URA_PCH, where the RNC is in charge of initiating and running the paging process</w:t>
      </w:r>
      <w:r w:rsidR="005550D0">
        <w:t xml:space="preserve"> (scheduling and repeating the paging records)</w:t>
      </w:r>
      <w:r>
        <w:t>.</w:t>
      </w:r>
    </w:p>
    <w:p w:rsidR="008470E8" w:rsidRDefault="005550D0" w:rsidP="001B348C">
      <w:r>
        <w:t xml:space="preserve">It should be noted that the method of using smaller transport block sizes to increase coverage </w:t>
      </w:r>
      <w:r w:rsidR="00922E6C">
        <w:t xml:space="preserve">for new UEs </w:t>
      </w:r>
      <w:r>
        <w:t xml:space="preserve">can be combined with the method of increasing the power of the S-CCPCH carrying the PCH </w:t>
      </w:r>
      <w:r>
        <w:fldChar w:fldCharType="begin"/>
      </w:r>
      <w:r>
        <w:instrText xml:space="preserve"> REF _Ref408994361 \r \h </w:instrText>
      </w:r>
      <w:r>
        <w:fldChar w:fldCharType="separate"/>
      </w:r>
      <w:r>
        <w:t>[3]</w:t>
      </w:r>
      <w:r>
        <w:fldChar w:fldCharType="end"/>
      </w:r>
      <w:r>
        <w:t xml:space="preserve">. </w:t>
      </w:r>
      <w:r w:rsidR="008470E8">
        <w:t>Further, if the paging capacity need is low, so RNC only has e.g. one paging record to send in the current TTI, then this transmission can be done more cheaply if a smaller transport block size is used and transmission power is adapted to this.</w:t>
      </w:r>
    </w:p>
    <w:p w:rsidR="005550D0" w:rsidRDefault="00185344" w:rsidP="005550D0">
      <w:pPr>
        <w:pStyle w:val="Heading1"/>
      </w:pPr>
      <w:r>
        <w:t>The new transport format</w:t>
      </w:r>
    </w:p>
    <w:p w:rsidR="00E92C5B" w:rsidRDefault="00185344" w:rsidP="00E92C5B">
      <w:r>
        <w:t>It shall be noted that the new transport block size and old transport block size are not two different transport formats in the traditional sense. If we just extend the transport format table with one more transport format, e.g.</w:t>
      </w:r>
    </w:p>
    <w:p w:rsidR="00185344" w:rsidRDefault="00185344" w:rsidP="00E92C5B">
      <w:r>
        <w:t>TF0 = 0x240</w:t>
      </w:r>
      <w:r>
        <w:br/>
        <w:t xml:space="preserve">TF1 = 1x80    </w:t>
      </w:r>
      <w:r>
        <w:sym w:font="Wingdings" w:char="F0DF"/>
      </w:r>
      <w:r>
        <w:t xml:space="preserve"> new smaller TB</w:t>
      </w:r>
      <w:r>
        <w:br/>
        <w:t>TF2 = 1x240</w:t>
      </w:r>
    </w:p>
    <w:p w:rsidR="00185344" w:rsidRDefault="00185344" w:rsidP="00E92C5B">
      <w:proofErr w:type="gramStart"/>
      <w:r>
        <w:t>the</w:t>
      </w:r>
      <w:proofErr w:type="gramEnd"/>
      <w:r>
        <w:t xml:space="preserve"> result will not be a transport block that uses less transmit power. The energy required will be decreased, but the power will remain, since the rate matching will match the largest transport format 1x240 to fit the S-CCPCH, and DTX </w:t>
      </w:r>
      <w:r w:rsidR="00F8085E">
        <w:t xml:space="preserve">bits will be inserted </w:t>
      </w:r>
      <w:r>
        <w:t xml:space="preserve">for </w:t>
      </w:r>
      <w:r w:rsidR="00F8085E">
        <w:t xml:space="preserve">the </w:t>
      </w:r>
      <w:r>
        <w:t>1x80</w:t>
      </w:r>
      <w:r w:rsidR="00F8085E">
        <w:t xml:space="preserve"> transport format</w:t>
      </w:r>
      <w:r>
        <w:t>.</w:t>
      </w:r>
    </w:p>
    <w:p w:rsidR="00185344" w:rsidRDefault="00185344" w:rsidP="00E92C5B">
      <w:r>
        <w:t xml:space="preserve">Moreover, it seems dangerous to assume that legacy UEs would work well with this new definition of the PCH channel (which is broadcast on the BCH). </w:t>
      </w:r>
    </w:p>
    <w:p w:rsidR="00185344" w:rsidRDefault="00185344" w:rsidP="00E92C5B">
      <w:r>
        <w:t xml:space="preserve">Hence, what we would like to achieve is the possibility to run the PCH just as before (say SF128, CC1/2, TF0=0x240, TF1=1x240), but for </w:t>
      </w:r>
      <w:r w:rsidR="00F8085E">
        <w:t>new UEs that support the PCH coverage extension an alternative smaller transport block size is supported (say SF128, CC1/2, TF=1x80). The rate matching shall be done in such a way that both the 1x240 and the 1x80 transport formats fill the S-CCPCH without any DTX.</w:t>
      </w:r>
    </w:p>
    <w:p w:rsidR="00F8085E" w:rsidRDefault="007C4794" w:rsidP="00E92C5B">
      <w:r>
        <w:t>In order to prevent</w:t>
      </w:r>
      <w:r w:rsidR="00F8085E">
        <w:t xml:space="preserve"> problems with legacy UEs it is preferred to not change the S-CCPCH slot format to support TFCI. Hence, a solution where the new UE supports blind detection of the new alternative transport format is preferred. A UE would then upon detection of the </w:t>
      </w:r>
      <w:r w:rsidR="0093551D">
        <w:t>paging indicator (</w:t>
      </w:r>
      <w:r w:rsidR="00F8085E">
        <w:t>PI</w:t>
      </w:r>
      <w:r w:rsidR="0093551D">
        <w:t>)</w:t>
      </w:r>
      <w:r w:rsidR="00F8085E">
        <w:t xml:space="preserve"> it is monitoring on PICH proceed with decoding of the PCH, first </w:t>
      </w:r>
      <w:r w:rsidR="0093551D">
        <w:t>trying to decode</w:t>
      </w:r>
      <w:r w:rsidR="00F8085E">
        <w:t xml:space="preserve"> the “normal” TF 1x240 and then if the CRC fails proceed to try to decode the 1x80 format.</w:t>
      </w:r>
      <w:r w:rsidR="0093551D">
        <w:t xml:space="preserve"> The order in which the UE tries the two transport format hypothesis is left up to UE implementation.</w:t>
      </w:r>
    </w:p>
    <w:p w:rsidR="0093551D" w:rsidRDefault="0093551D" w:rsidP="0093551D">
      <w:pPr>
        <w:rPr>
          <w:bCs/>
        </w:rPr>
      </w:pPr>
      <w:r>
        <w:t xml:space="preserve">As a further possibility, if blind decoding is seen as an additional complexity in the UE receiver that will cost processing and hence battery power, it could be possible to provide guidance on the transport format used on the PICH. The PICH today carries a number of PIs mapped to 288 bits out of the 300 bits available on the SF256, 10 </w:t>
      </w:r>
      <w:proofErr w:type="spellStart"/>
      <w:r>
        <w:t>ms</w:t>
      </w:r>
      <w:proofErr w:type="spellEnd"/>
      <w:r>
        <w:t xml:space="preserve"> radio frame, see </w:t>
      </w:r>
      <w:r>
        <w:rPr>
          <w:bCs/>
        </w:rPr>
        <w:t xml:space="preserve">Figure 1 below. </w:t>
      </w:r>
      <w:r>
        <w:t xml:space="preserve">This leaves 12 bits unused, which are today </w:t>
      </w:r>
      <w:proofErr w:type="spellStart"/>
      <w:r>
        <w:t>DTXed</w:t>
      </w:r>
      <w:proofErr w:type="spellEnd"/>
      <w:r>
        <w:t xml:space="preserve">. Potentially these 12 bits could be used to instruct the new UEs about the transport format used on the PCH. E.g., setting all the 12 bits to +1 could mean “use the special small TF (TF=1x80)”, while all 12 bits set to -1 could mean “use the normal TF as defined in system information (TF=1x240)”. ON/OFF keying could also be </w:t>
      </w:r>
      <w:r>
        <w:lastRenderedPageBreak/>
        <w:t xml:space="preserve">used, where DTX means </w:t>
      </w:r>
      <w:r w:rsidR="00553985">
        <w:t>“use the normal TF as defined in system information (TF=1x240)” and setting all the 12 bits to +1 could mean “use the special small TF (TF=1x80)”.</w:t>
      </w:r>
    </w:p>
    <w:p w:rsidR="0093551D" w:rsidRDefault="0093551D" w:rsidP="0093551D">
      <w:pPr>
        <w:jc w:val="center"/>
        <w:rPr>
          <w:bCs/>
        </w:rPr>
      </w:pPr>
      <w:r>
        <w:rPr>
          <w:bCs/>
          <w:noProof/>
          <w:lang w:val="en-US" w:eastAsia="en-US"/>
        </w:rPr>
        <w:drawing>
          <wp:inline distT="0" distB="0" distL="0" distR="0" wp14:anchorId="6ADBF933" wp14:editId="13F3F6AB">
            <wp:extent cx="2771775" cy="90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775" cy="904875"/>
                    </a:xfrm>
                    <a:prstGeom prst="rect">
                      <a:avLst/>
                    </a:prstGeom>
                    <a:noFill/>
                    <a:ln>
                      <a:noFill/>
                    </a:ln>
                  </pic:spPr>
                </pic:pic>
              </a:graphicData>
            </a:graphic>
          </wp:inline>
        </w:drawing>
      </w:r>
    </w:p>
    <w:p w:rsidR="0093551D" w:rsidRPr="00243D04" w:rsidRDefault="0093551D" w:rsidP="0093551D">
      <w:pPr>
        <w:pStyle w:val="figurecaption"/>
        <w:jc w:val="center"/>
        <w:rPr>
          <w:rFonts w:eastAsia="MS Mincho"/>
        </w:rPr>
      </w:pPr>
      <w:r>
        <w:t>Paging Indicator Channel (PICH) structure</w:t>
      </w:r>
      <w:r w:rsidRPr="00243D04">
        <w:t>.</w:t>
      </w:r>
    </w:p>
    <w:p w:rsidR="0093551D" w:rsidRDefault="00553985" w:rsidP="00E92C5B">
      <w:pPr>
        <w:rPr>
          <w:lang w:val="en-US"/>
        </w:rPr>
      </w:pPr>
      <w:r>
        <w:rPr>
          <w:lang w:val="en-US"/>
        </w:rPr>
        <w:t>It needs to be further discussed if the complexity of introducing new signaling on the 12 free bits on the PICH can be motivated. Maybe the cost of doing an occasional blind detection of an additional transport format is not too high.</w:t>
      </w:r>
    </w:p>
    <w:p w:rsidR="009D3927" w:rsidRDefault="009D3927" w:rsidP="00E92C5B">
      <w:pPr>
        <w:rPr>
          <w:lang w:val="en-US"/>
        </w:rPr>
      </w:pPr>
      <w:r>
        <w:rPr>
          <w:lang w:val="en-US"/>
        </w:rPr>
        <w:t>I</w:t>
      </w:r>
      <w:r w:rsidR="007C4794">
        <w:rPr>
          <w:lang w:val="en-US"/>
        </w:rPr>
        <w:t>f</w:t>
      </w:r>
      <w:r>
        <w:rPr>
          <w:lang w:val="en-US"/>
        </w:rPr>
        <w:t xml:space="preserve"> a new smaller transport block size is introduced, further discussions are needed on what transport block size that should be the target. In addition it needs to be determined if it is only the transport block size that would be specific for this new format, or if </w:t>
      </w:r>
      <w:proofErr w:type="gramStart"/>
      <w:r>
        <w:rPr>
          <w:lang w:val="en-US"/>
        </w:rPr>
        <w:t>changes to e.g. the convolutional coding rate is</w:t>
      </w:r>
      <w:proofErr w:type="gramEnd"/>
      <w:r>
        <w:rPr>
          <w:lang w:val="en-US"/>
        </w:rPr>
        <w:t xml:space="preserve"> worthwhile.</w:t>
      </w:r>
    </w:p>
    <w:p w:rsidR="009D3927" w:rsidRDefault="009D3927" w:rsidP="00E92C5B">
      <w:pPr>
        <w:rPr>
          <w:lang w:val="en-US"/>
        </w:rPr>
      </w:pPr>
      <w:r>
        <w:rPr>
          <w:lang w:val="en-US"/>
        </w:rPr>
        <w:t>It is envisioned that the new UEs supporting an alternative transport block size would be informed via RRC (system information) about the presence of such a new transport block size. Old UEs would not even be aware of this possibility, and will continue to monitor the normal PCH format.</w:t>
      </w:r>
    </w:p>
    <w:p w:rsidR="0048584D" w:rsidRDefault="0048584D" w:rsidP="00E92C5B">
      <w:pPr>
        <w:rPr>
          <w:lang w:val="en-US"/>
        </w:rPr>
      </w:pPr>
      <w:r>
        <w:rPr>
          <w:lang w:val="en-US"/>
        </w:rPr>
        <w:t xml:space="preserve">Currently, the frame protocol over </w:t>
      </w:r>
      <w:proofErr w:type="spellStart"/>
      <w:r>
        <w:rPr>
          <w:lang w:val="en-US"/>
        </w:rPr>
        <w:t>Iub</w:t>
      </w:r>
      <w:proofErr w:type="spellEnd"/>
      <w:r>
        <w:rPr>
          <w:lang w:val="en-US"/>
        </w:rPr>
        <w:t xml:space="preserve"> for PCH DATA FRAMES support</w:t>
      </w:r>
      <w:r w:rsidR="00435136">
        <w:rPr>
          <w:lang w:val="en-US"/>
        </w:rPr>
        <w:t>s</w:t>
      </w:r>
      <w:r>
        <w:rPr>
          <w:lang w:val="en-US"/>
        </w:rPr>
        <w:t xml:space="preserve"> multiple transport block sizes</w:t>
      </w:r>
      <w:r w:rsidR="00435136">
        <w:rPr>
          <w:lang w:val="en-US"/>
        </w:rPr>
        <w:t xml:space="preserve"> as part of its support of multiple transport formats (TFI is signaled in the data frame)</w:t>
      </w:r>
      <w:r>
        <w:rPr>
          <w:lang w:val="en-US"/>
        </w:rPr>
        <w:t xml:space="preserve">. </w:t>
      </w:r>
      <w:r w:rsidR="00435136">
        <w:rPr>
          <w:lang w:val="en-US"/>
        </w:rPr>
        <w:t>Hence, if the new transport block size is seen as a new transport format</w:t>
      </w:r>
      <w:r w:rsidR="009A0F55">
        <w:rPr>
          <w:lang w:val="en-US"/>
        </w:rPr>
        <w:t xml:space="preserve"> (e.g. TF2, extending the already existing TF0 and TF1 formats)</w:t>
      </w:r>
      <w:r w:rsidR="00435136">
        <w:rPr>
          <w:lang w:val="en-US"/>
        </w:rPr>
        <w:t>, it can be supported with no impact on the frame protocol.</w:t>
      </w:r>
      <w:r w:rsidR="009A0F55">
        <w:rPr>
          <w:lang w:val="en-US"/>
        </w:rPr>
        <w:t xml:space="preserve"> However, from an RRC signaling point of view care needs to be taken to not confuse legacy UEs with this new TF2 transport format. Also from physical layer point of view some special care needs to be taken if the new transport block size is just seen as an additional transport format. The rate matching performed should be made in such a way that all physical channel bits are used without DTX, which requires the rate matching for the TF2=1x80 to ignore the larger TF1=1x240 when calculating the rate matching parameters.</w:t>
      </w:r>
    </w:p>
    <w:p w:rsidR="0048584D" w:rsidRPr="0093551D" w:rsidRDefault="0048584D" w:rsidP="00E92C5B">
      <w:pPr>
        <w:rPr>
          <w:lang w:val="en-US"/>
        </w:rPr>
      </w:pPr>
      <w:r>
        <w:rPr>
          <w:lang w:val="en-US"/>
        </w:rPr>
        <w:t>In principle the proposed techniques could be used to introduce multiple new transport block sizes, e.g. by letting UE blindly test even more transport block size hypothesis, or using the 12 bits on PICH to point to different transport formats, similar to the role of the TFCI. However, the benefit of such a more flexible solution would then need to be compared to the added specification/implementation complexity.</w:t>
      </w:r>
    </w:p>
    <w:p w:rsidR="000074A3" w:rsidRPr="00AB6D1D" w:rsidRDefault="000074A3" w:rsidP="000074A3">
      <w:pPr>
        <w:pStyle w:val="Heading1"/>
      </w:pPr>
      <w:r w:rsidRPr="00AB6D1D">
        <w:t>Conclusion</w:t>
      </w:r>
      <w:bookmarkStart w:id="1" w:name="_In-sequence_SDU_delivery"/>
      <w:bookmarkEnd w:id="1"/>
    </w:p>
    <w:p w:rsidR="00722C60" w:rsidRDefault="009D3927" w:rsidP="00AB6D1D">
      <w:r>
        <w:t>In this contribution the possibility of extending PCH coverage by supporting an additional smaller transport block size has been presented. As has been shown, significant coverage gain is possible.</w:t>
      </w:r>
    </w:p>
    <w:p w:rsidR="009D3927" w:rsidRDefault="009D3927" w:rsidP="00AB6D1D">
      <w:r w:rsidRPr="00DD6126">
        <w:rPr>
          <w:b/>
        </w:rPr>
        <w:t>Proposal</w:t>
      </w:r>
      <w:r w:rsidR="00E30431" w:rsidRPr="00DD6126">
        <w:rPr>
          <w:b/>
        </w:rPr>
        <w:t xml:space="preserve"> 1</w:t>
      </w:r>
      <w:r w:rsidRPr="00DD6126">
        <w:rPr>
          <w:b/>
        </w:rPr>
        <w:t xml:space="preserve">: </w:t>
      </w:r>
      <w:r w:rsidR="00DD6126">
        <w:t xml:space="preserve">Continue to </w:t>
      </w:r>
      <w:r>
        <w:t>stud</w:t>
      </w:r>
      <w:r w:rsidR="00DD6126">
        <w:t>y</w:t>
      </w:r>
      <w:r>
        <w:t xml:space="preserve"> the use of an alternative smaller transport </w:t>
      </w:r>
      <w:r w:rsidR="00DD6126">
        <w:t>block size for PCH for new UEs</w:t>
      </w:r>
    </w:p>
    <w:p w:rsidR="00E30431" w:rsidRPr="00AB6D1D" w:rsidRDefault="00E30431" w:rsidP="00AB6D1D">
      <w:r w:rsidRPr="00DD6126">
        <w:rPr>
          <w:b/>
        </w:rPr>
        <w:t>Propo</w:t>
      </w:r>
      <w:r w:rsidR="00DD6126" w:rsidRPr="00DD6126">
        <w:rPr>
          <w:b/>
        </w:rPr>
        <w:t>sal 2:</w:t>
      </w:r>
      <w:r w:rsidR="00DD6126">
        <w:t xml:space="preserve"> Capture this idea in the </w:t>
      </w:r>
      <w:r>
        <w:t>TR</w:t>
      </w:r>
      <w:r w:rsidR="00DD6126">
        <w:t xml:space="preserve"> 25.705, a text proposal in </w:t>
      </w:r>
      <w:r w:rsidR="00DD6126">
        <w:fldChar w:fldCharType="begin"/>
      </w:r>
      <w:r w:rsidR="00DD6126">
        <w:instrText xml:space="preserve"> REF _Ref409004506 \r \h </w:instrText>
      </w:r>
      <w:r w:rsidR="00DD6126">
        <w:fldChar w:fldCharType="separate"/>
      </w:r>
      <w:r w:rsidR="00DD6126">
        <w:t>[5]</w:t>
      </w:r>
      <w:r w:rsidR="00DD6126">
        <w:fldChar w:fldCharType="end"/>
      </w:r>
    </w:p>
    <w:p w:rsidR="000074A3" w:rsidRPr="00AB6D1D" w:rsidRDefault="000074A3" w:rsidP="000074A3">
      <w:pPr>
        <w:pStyle w:val="Heading1"/>
      </w:pPr>
      <w:r w:rsidRPr="00AB6D1D">
        <w:t>References</w:t>
      </w:r>
    </w:p>
    <w:p w:rsidR="0055123B" w:rsidRPr="00F8085E" w:rsidRDefault="00F8085E" w:rsidP="00F8085E">
      <w:pPr>
        <w:pStyle w:val="Reference"/>
        <w:rPr>
          <w:rFonts w:cs="Arial"/>
          <w:lang w:val="en-US"/>
        </w:rPr>
      </w:pPr>
      <w:bookmarkStart w:id="2" w:name="_Ref402862956"/>
      <w:r w:rsidRPr="008E6AE2">
        <w:rPr>
          <w:rFonts w:cs="Arial"/>
          <w:lang w:val="en-US"/>
        </w:rPr>
        <w:t>RP-141711, “</w:t>
      </w:r>
      <w:r w:rsidRPr="008E6AE2">
        <w:rPr>
          <w:rFonts w:eastAsia="Batang" w:cs="Arial"/>
        </w:rPr>
        <w:t>New SID: Study on Small Data Transmission Enhancements for UMTS</w:t>
      </w:r>
      <w:r w:rsidRPr="008E6AE2">
        <w:rPr>
          <w:rFonts w:cs="Arial"/>
          <w:lang w:val="en-US"/>
        </w:rPr>
        <w:t xml:space="preserve">”, </w:t>
      </w:r>
      <w:r w:rsidRPr="008E6AE2">
        <w:rPr>
          <w:rFonts w:eastAsia="Batang"/>
          <w:lang w:val="en-US"/>
        </w:rPr>
        <w:t>Ericsson, Huawei, Hi-Silicon, Telefonica S.A., China Unicom, Nokia Networks</w:t>
      </w:r>
    </w:p>
    <w:p w:rsidR="0055123B" w:rsidRDefault="00E30431" w:rsidP="0055123B">
      <w:pPr>
        <w:pStyle w:val="Reference"/>
        <w:rPr>
          <w:rFonts w:cs="Arial"/>
          <w:lang w:val="en-US"/>
        </w:rPr>
      </w:pPr>
      <w:r>
        <w:rPr>
          <w:rFonts w:cs="Arial"/>
          <w:lang w:val="en-US"/>
        </w:rPr>
        <w:t>R1-145237, “Chairperson</w:t>
      </w:r>
      <w:r w:rsidR="0055123B">
        <w:rPr>
          <w:rFonts w:cs="Arial"/>
          <w:lang w:val="en-US"/>
        </w:rPr>
        <w:t>s</w:t>
      </w:r>
      <w:r>
        <w:rPr>
          <w:rFonts w:cs="Arial"/>
          <w:lang w:val="en-US"/>
        </w:rPr>
        <w:t>’</w:t>
      </w:r>
      <w:r w:rsidR="0055123B">
        <w:rPr>
          <w:rFonts w:cs="Arial"/>
          <w:lang w:val="en-US"/>
        </w:rPr>
        <w:t xml:space="preserve"> </w:t>
      </w:r>
      <w:r>
        <w:rPr>
          <w:rFonts w:cs="Arial"/>
          <w:lang w:val="en-US"/>
        </w:rPr>
        <w:t>summary of the UMTS sessions”, UMTS session chairpersons</w:t>
      </w:r>
    </w:p>
    <w:p w:rsidR="00041016" w:rsidRDefault="001737F4" w:rsidP="00041016">
      <w:pPr>
        <w:pStyle w:val="Reference"/>
        <w:rPr>
          <w:lang w:val="en-US"/>
        </w:rPr>
      </w:pPr>
      <w:bookmarkStart w:id="3" w:name="_Ref409003925"/>
      <w:r w:rsidRPr="001737F4">
        <w:rPr>
          <w:lang w:val="en-US"/>
        </w:rPr>
        <w:t>R1-145028</w:t>
      </w:r>
      <w:r w:rsidR="00041016" w:rsidRPr="001737F4">
        <w:rPr>
          <w:lang w:val="en-US"/>
        </w:rPr>
        <w:t>, “Paging channels (PICH and PCH)</w:t>
      </w:r>
      <w:r w:rsidR="00B16B39" w:rsidRPr="001737F4">
        <w:rPr>
          <w:lang w:val="en-US"/>
        </w:rPr>
        <w:t xml:space="preserve"> coverage evaluation</w:t>
      </w:r>
      <w:r w:rsidR="00041016" w:rsidRPr="001737F4">
        <w:rPr>
          <w:lang w:val="en-US"/>
        </w:rPr>
        <w:t>”, Ericsson</w:t>
      </w:r>
      <w:bookmarkEnd w:id="2"/>
      <w:bookmarkEnd w:id="3"/>
    </w:p>
    <w:p w:rsidR="005550D0" w:rsidRPr="00455206" w:rsidRDefault="005550D0" w:rsidP="009A0F55">
      <w:pPr>
        <w:pStyle w:val="Reference"/>
        <w:rPr>
          <w:lang w:val="en-US"/>
        </w:rPr>
      </w:pPr>
      <w:bookmarkStart w:id="4" w:name="_Ref408994361"/>
      <w:r w:rsidRPr="00455206">
        <w:rPr>
          <w:lang w:val="en-US"/>
        </w:rPr>
        <w:t>R1-15</w:t>
      </w:r>
      <w:r w:rsidR="00455206" w:rsidRPr="00455206">
        <w:rPr>
          <w:lang w:val="en-US"/>
        </w:rPr>
        <w:t>0333</w:t>
      </w:r>
      <w:r w:rsidRPr="00455206">
        <w:rPr>
          <w:lang w:val="en-US"/>
        </w:rPr>
        <w:t>, “</w:t>
      </w:r>
      <w:r w:rsidR="009A0F55" w:rsidRPr="00455206">
        <w:rPr>
          <w:lang w:val="en-US"/>
        </w:rPr>
        <w:t>Analysis on repetitions and power boosting techniques for enhancing the coverage of the PCH over S-CCPCH</w:t>
      </w:r>
      <w:r w:rsidRPr="00455206">
        <w:rPr>
          <w:lang w:val="en-US"/>
        </w:rPr>
        <w:t>”, Ericsson</w:t>
      </w:r>
      <w:bookmarkEnd w:id="4"/>
    </w:p>
    <w:p w:rsidR="00A16E36" w:rsidRPr="00455206" w:rsidRDefault="00455206" w:rsidP="00AE6CEB">
      <w:pPr>
        <w:pStyle w:val="Reference"/>
        <w:rPr>
          <w:lang w:val="en-US"/>
        </w:rPr>
      </w:pPr>
      <w:bookmarkStart w:id="5" w:name="_Ref409004506"/>
      <w:r w:rsidRPr="00455206">
        <w:rPr>
          <w:lang w:val="en-US"/>
        </w:rPr>
        <w:t>R1-150337</w:t>
      </w:r>
      <w:r w:rsidR="00DD6126" w:rsidRPr="00455206">
        <w:rPr>
          <w:lang w:val="en-US"/>
        </w:rPr>
        <w:t>, “Text proposal on PCH coverage extension using smaller transport block size”, Ericsson</w:t>
      </w:r>
      <w:bookmarkEnd w:id="5"/>
    </w:p>
    <w:p w:rsidR="007D6E66" w:rsidRPr="004113A6" w:rsidRDefault="007D6E66" w:rsidP="007D6E66">
      <w:pPr>
        <w:pStyle w:val="Reference"/>
        <w:numPr>
          <w:ilvl w:val="0"/>
          <w:numId w:val="0"/>
        </w:numPr>
        <w:ind w:left="567"/>
        <w:rPr>
          <w:lang w:val="en-US"/>
        </w:rPr>
      </w:pPr>
    </w:p>
    <w:p w:rsidR="00E337C7" w:rsidRDefault="00E337C7">
      <w:pPr>
        <w:overflowPunct/>
        <w:autoSpaceDE/>
        <w:autoSpaceDN/>
        <w:adjustRightInd/>
        <w:spacing w:after="0"/>
        <w:jc w:val="left"/>
        <w:textAlignment w:val="auto"/>
        <w:rPr>
          <w:rFonts w:cs="Arial"/>
          <w:sz w:val="36"/>
          <w:szCs w:val="36"/>
          <w:lang w:val="en-US"/>
        </w:rPr>
      </w:pPr>
      <w:r>
        <w:rPr>
          <w:lang w:val="en-US"/>
        </w:rPr>
        <w:br w:type="page"/>
      </w:r>
    </w:p>
    <w:p w:rsidR="00FA07C8" w:rsidRDefault="007D6E66" w:rsidP="007D6E66">
      <w:pPr>
        <w:pStyle w:val="Heading1"/>
        <w:numPr>
          <w:ilvl w:val="0"/>
          <w:numId w:val="0"/>
        </w:numPr>
        <w:ind w:left="432" w:hanging="432"/>
        <w:rPr>
          <w:lang w:val="en-US"/>
        </w:rPr>
      </w:pPr>
      <w:r>
        <w:rPr>
          <w:lang w:val="en-US"/>
        </w:rPr>
        <w:lastRenderedPageBreak/>
        <w:t>Annex A</w:t>
      </w:r>
    </w:p>
    <w:p w:rsidR="007D6E66" w:rsidRDefault="008E384D" w:rsidP="007D6E66">
      <w:pPr>
        <w:rPr>
          <w:lang w:val="en-US"/>
        </w:rPr>
      </w:pPr>
      <w:r>
        <w:rPr>
          <w:lang w:val="en-US"/>
        </w:rPr>
        <w:t xml:space="preserve">At RAN1#78bis, the following </w:t>
      </w:r>
      <w:r w:rsidR="00E92C5B">
        <w:rPr>
          <w:lang w:val="en-US"/>
        </w:rPr>
        <w:t>simulation assumptions were</w:t>
      </w:r>
      <w:r>
        <w:rPr>
          <w:lang w:val="en-US"/>
        </w:rPr>
        <w:t xml:space="preserve"> agreed:</w:t>
      </w:r>
    </w:p>
    <w:p w:rsidR="00E337C7" w:rsidRDefault="00E337C7" w:rsidP="007D6E66">
      <w:pPr>
        <w:rPr>
          <w:i/>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731"/>
        <w:gridCol w:w="5105"/>
      </w:tblGrid>
      <w:tr w:rsidR="008E384D" w:rsidRPr="008E384D" w:rsidTr="006F5B2A">
        <w:trPr>
          <w:jc w:val="center"/>
        </w:trPr>
        <w:tc>
          <w:tcPr>
            <w:tcW w:w="3731" w:type="dxa"/>
            <w:tcBorders>
              <w:top w:val="single" w:sz="12" w:space="0" w:color="000000"/>
              <w:bottom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Parameter</w:t>
            </w:r>
          </w:p>
        </w:tc>
        <w:tc>
          <w:tcPr>
            <w:tcW w:w="5105" w:type="dxa"/>
            <w:tcBorders>
              <w:top w:val="single" w:sz="12" w:space="0" w:color="000000"/>
              <w:bottom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Assumption</w:t>
            </w:r>
          </w:p>
        </w:tc>
      </w:tr>
      <w:tr w:rsidR="008E384D" w:rsidRPr="008E384D" w:rsidTr="006F5B2A">
        <w:trPr>
          <w:jc w:val="center"/>
        </w:trPr>
        <w:tc>
          <w:tcPr>
            <w:tcW w:w="3731" w:type="dxa"/>
            <w:tcBorders>
              <w:top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TBS</w:t>
            </w:r>
          </w:p>
        </w:tc>
        <w:tc>
          <w:tcPr>
            <w:tcW w:w="5105" w:type="dxa"/>
            <w:tcBorders>
              <w:top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120 bits (HS, EUL)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capability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Rel-12, supporting any legacy feature improving coverage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UE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 antenna</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Node B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 antennas (uncorrelated)</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UE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23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Node B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43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9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Node B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5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common channel power settings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P-CPICH: -10 dB from max carrier power</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P-SCH: -12 dB</w:t>
            </w:r>
            <w:r w:rsidRPr="008E384D">
              <w:rPr>
                <w:rFonts w:cs="Arial"/>
              </w:rPr>
              <w:br/>
              <w:t>S-SCH: -13.5 dB</w:t>
            </w:r>
            <w:r w:rsidRPr="008E384D">
              <w:rPr>
                <w:rFonts w:cs="Arial"/>
              </w:rPr>
              <w:br/>
              <w:t>P-CCPCH (BCH): -12 dB</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For other channels reasonable power settings can be proposed. </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DL inter-cell interference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inter-cell interference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Soft/softer handover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soft/softer handover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OCNS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OCNS added to fill up DL carrier power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Uplink rise-over-thermal (</w:t>
            </w:r>
            <w:proofErr w:type="spellStart"/>
            <w:r w:rsidRPr="008E384D">
              <w:rPr>
                <w:rFonts w:cs="Arial"/>
              </w:rPr>
              <w:t>RoT</w:t>
            </w:r>
            <w:proofErr w:type="spellEnd"/>
            <w:r w:rsidRPr="008E384D">
              <w:rPr>
                <w:rFonts w:cs="Arial"/>
              </w:rPr>
              <w:t>) operation point</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10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Channel model</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proofErr w:type="spellStart"/>
            <w:r w:rsidRPr="008E384D">
              <w:rPr>
                <w:rFonts w:cs="Arial"/>
              </w:rPr>
              <w:t>Ped</w:t>
            </w:r>
            <w:proofErr w:type="spellEnd"/>
            <w:r w:rsidRPr="008E384D">
              <w:rPr>
                <w:rFonts w:cs="Arial"/>
              </w:rPr>
              <w:t xml:space="preserve"> A 1 Hz Doppler spread, AWGN static channel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Carrier frequency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GHz</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Frequency error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kHz, 1 kHz optional, in cell search simulations</w:t>
            </w:r>
            <w:r w:rsidRPr="008E384D">
              <w:rPr>
                <w:rFonts w:cs="Arial"/>
              </w:rPr>
              <w:br/>
            </w:r>
            <w:r w:rsidRPr="008E384D">
              <w:rPr>
                <w:rFonts w:cs="Arial"/>
              </w:rPr>
              <w:br/>
              <w:t>0 otherwise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Beta values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To be provided with evaluation results</w:t>
            </w:r>
          </w:p>
        </w:tc>
      </w:tr>
    </w:tbl>
    <w:p w:rsidR="008E384D" w:rsidRDefault="008E384D" w:rsidP="007D6E66">
      <w:pPr>
        <w:rPr>
          <w:rFonts w:cs="Arial"/>
          <w:b/>
          <w:i/>
        </w:rPr>
      </w:pPr>
    </w:p>
    <w:p w:rsidR="000B718E" w:rsidRDefault="000B718E" w:rsidP="009F1477">
      <w:pPr>
        <w:pStyle w:val="Heading1"/>
        <w:numPr>
          <w:ilvl w:val="0"/>
          <w:numId w:val="0"/>
        </w:numPr>
        <w:ind w:left="432" w:hanging="432"/>
      </w:pPr>
      <w:r>
        <w:br w:type="page"/>
      </w:r>
      <w:r w:rsidR="009F1477">
        <w:lastRenderedPageBreak/>
        <w:t>Annex B</w:t>
      </w:r>
    </w:p>
    <w:p w:rsidR="009F1477" w:rsidRDefault="009F1477" w:rsidP="009F1477">
      <w:r>
        <w:t xml:space="preserve">TS 34.108 </w:t>
      </w:r>
      <w:proofErr w:type="gramStart"/>
      <w:r>
        <w:t>provides</w:t>
      </w:r>
      <w:proofErr w:type="gramEnd"/>
      <w:r>
        <w:t xml:space="preserve"> guidance on how typical configurations of the PCH channel looks like:</w:t>
      </w:r>
    </w:p>
    <w:p w:rsidR="009F1477" w:rsidRDefault="009F1477" w:rsidP="009F1477"/>
    <w:p w:rsidR="009F1477" w:rsidRPr="007971AB" w:rsidRDefault="009F1477" w:rsidP="009F1477">
      <w:pPr>
        <w:pStyle w:val="Heading5"/>
        <w:keepNext w:val="0"/>
        <w:keepLines w:val="0"/>
        <w:numPr>
          <w:ilvl w:val="0"/>
          <w:numId w:val="0"/>
        </w:numPr>
        <w:ind w:left="1008" w:hanging="1008"/>
      </w:pPr>
      <w:bookmarkStart w:id="6" w:name="_Toc106528591"/>
      <w:r w:rsidRPr="007971AB">
        <w:t>6.10.2.4.3</w:t>
      </w:r>
      <w:r w:rsidRPr="007971AB">
        <w:tab/>
        <w:t>Combinations on SCCPCH</w:t>
      </w:r>
      <w:bookmarkEnd w:id="6"/>
    </w:p>
    <w:p w:rsidR="009F1477" w:rsidRPr="007971AB" w:rsidRDefault="009F1477" w:rsidP="009F1477">
      <w:pPr>
        <w:pStyle w:val="Heading6"/>
        <w:keepNext w:val="0"/>
        <w:keepLines w:val="0"/>
        <w:numPr>
          <w:ilvl w:val="0"/>
          <w:numId w:val="0"/>
        </w:numPr>
        <w:ind w:left="1152" w:hanging="1152"/>
      </w:pPr>
      <w:bookmarkStart w:id="7" w:name="_Toc106528592"/>
      <w:r w:rsidRPr="007971AB">
        <w:t>6.10.2.4.3.1</w:t>
      </w:r>
      <w:r w:rsidRPr="007971AB">
        <w:tab/>
        <w:t>Stand-alone signalling RB for PCCH</w:t>
      </w:r>
      <w:bookmarkEnd w:id="7"/>
    </w:p>
    <w:p w:rsidR="009F1477" w:rsidRPr="007971AB" w:rsidRDefault="009F1477" w:rsidP="009F1477">
      <w:pPr>
        <w:pStyle w:val="H6"/>
        <w:keepNext w:val="0"/>
        <w:keepLines w:val="0"/>
      </w:pPr>
      <w:r w:rsidRPr="007971AB">
        <w:t>6.10.2.4.3.1.1</w:t>
      </w:r>
      <w:r w:rsidRPr="007971AB">
        <w:tab/>
        <w:t>Transport channel parameters</w:t>
      </w:r>
    </w:p>
    <w:p w:rsidR="009F1477" w:rsidRPr="007971AB" w:rsidRDefault="009F1477" w:rsidP="009F1477">
      <w:pPr>
        <w:pStyle w:val="H6"/>
        <w:keepNext w:val="0"/>
        <w:keepLines w:val="0"/>
      </w:pPr>
      <w:r w:rsidRPr="007971AB">
        <w:t>6.10.2.4.3.1.1.1</w:t>
      </w:r>
      <w:r w:rsidRPr="007971AB">
        <w:tab/>
        <w:t>Transport channel parameter of SRB for PCCH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77"/>
        <w:gridCol w:w="1603"/>
        <w:gridCol w:w="1603"/>
        <w:gridCol w:w="4621"/>
      </w:tblGrid>
      <w:tr w:rsidR="009F1477" w:rsidRPr="007971AB" w:rsidTr="00412404">
        <w:trPr>
          <w:cantSplit/>
          <w:jc w:val="center"/>
        </w:trPr>
        <w:tc>
          <w:tcPr>
            <w:tcW w:w="1677" w:type="dxa"/>
            <w:vMerge w:val="restart"/>
          </w:tcPr>
          <w:p w:rsidR="009F1477" w:rsidRPr="007971AB" w:rsidRDefault="009F1477" w:rsidP="00412404">
            <w:pPr>
              <w:pStyle w:val="TAL"/>
              <w:keepNext w:val="0"/>
              <w:keepLines w:val="0"/>
            </w:pPr>
            <w:r w:rsidRPr="007971AB">
              <w:t>Higher layer</w:t>
            </w:r>
          </w:p>
        </w:tc>
        <w:tc>
          <w:tcPr>
            <w:tcW w:w="3206" w:type="dxa"/>
            <w:gridSpan w:val="2"/>
          </w:tcPr>
          <w:p w:rsidR="009F1477" w:rsidRPr="007971AB" w:rsidRDefault="009F1477" w:rsidP="00412404">
            <w:pPr>
              <w:pStyle w:val="TAL"/>
              <w:keepNext w:val="0"/>
              <w:keepLines w:val="0"/>
            </w:pPr>
            <w:r w:rsidRPr="007971AB">
              <w:t>RAB/signalling RB</w:t>
            </w:r>
          </w:p>
        </w:tc>
        <w:tc>
          <w:tcPr>
            <w:tcW w:w="4621" w:type="dxa"/>
          </w:tcPr>
          <w:p w:rsidR="009F1477" w:rsidRPr="007971AB" w:rsidRDefault="009F1477" w:rsidP="00412404">
            <w:pPr>
              <w:pStyle w:val="TAC"/>
              <w:keepNext w:val="0"/>
              <w:keepLines w:val="0"/>
            </w:pPr>
            <w:r w:rsidRPr="007971AB">
              <w:t>SRB</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User of Radio Bearer</w:t>
            </w:r>
          </w:p>
        </w:tc>
        <w:tc>
          <w:tcPr>
            <w:tcW w:w="4621" w:type="dxa"/>
          </w:tcPr>
          <w:p w:rsidR="009F1477" w:rsidRPr="007971AB" w:rsidRDefault="009F1477" w:rsidP="00412404">
            <w:pPr>
              <w:pStyle w:val="TAC"/>
              <w:keepNext w:val="0"/>
              <w:keepLines w:val="0"/>
            </w:pPr>
            <w:r w:rsidRPr="007971AB">
              <w:t>RRC</w:t>
            </w:r>
          </w:p>
        </w:tc>
      </w:tr>
      <w:tr w:rsidR="009F1477" w:rsidRPr="007971AB" w:rsidTr="00412404">
        <w:trPr>
          <w:cantSplit/>
          <w:jc w:val="center"/>
        </w:trPr>
        <w:tc>
          <w:tcPr>
            <w:tcW w:w="1677" w:type="dxa"/>
            <w:vMerge w:val="restart"/>
          </w:tcPr>
          <w:p w:rsidR="009F1477" w:rsidRPr="007971AB" w:rsidRDefault="009F1477" w:rsidP="00412404">
            <w:pPr>
              <w:pStyle w:val="TAL"/>
              <w:keepNext w:val="0"/>
              <w:keepLines w:val="0"/>
            </w:pPr>
            <w:r w:rsidRPr="007971AB">
              <w:t>RLC</w:t>
            </w:r>
          </w:p>
        </w:tc>
        <w:tc>
          <w:tcPr>
            <w:tcW w:w="3206" w:type="dxa"/>
            <w:gridSpan w:val="2"/>
          </w:tcPr>
          <w:p w:rsidR="009F1477" w:rsidRPr="007971AB" w:rsidRDefault="009F1477" w:rsidP="00412404">
            <w:pPr>
              <w:pStyle w:val="TAL"/>
              <w:keepNext w:val="0"/>
              <w:keepLines w:val="0"/>
            </w:pPr>
            <w:r w:rsidRPr="007971AB">
              <w:t>Logical channel type</w:t>
            </w:r>
          </w:p>
        </w:tc>
        <w:tc>
          <w:tcPr>
            <w:tcW w:w="4621" w:type="dxa"/>
          </w:tcPr>
          <w:p w:rsidR="009F1477" w:rsidRPr="007971AB" w:rsidRDefault="009F1477" w:rsidP="00412404">
            <w:pPr>
              <w:pStyle w:val="TAC"/>
              <w:keepNext w:val="0"/>
              <w:keepLines w:val="0"/>
            </w:pPr>
            <w:r w:rsidRPr="007971AB">
              <w:t>PCCH</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RLC mode</w:t>
            </w:r>
          </w:p>
        </w:tc>
        <w:tc>
          <w:tcPr>
            <w:tcW w:w="4621" w:type="dxa"/>
          </w:tcPr>
          <w:p w:rsidR="009F1477" w:rsidRPr="007971AB" w:rsidRDefault="009F1477" w:rsidP="00412404">
            <w:pPr>
              <w:pStyle w:val="TAC"/>
              <w:keepNext w:val="0"/>
              <w:keepLines w:val="0"/>
            </w:pPr>
            <w:r w:rsidRPr="007971AB">
              <w:t>TM</w:t>
            </w:r>
          </w:p>
        </w:tc>
      </w:tr>
      <w:tr w:rsidR="009F1477" w:rsidRPr="007971AB" w:rsidTr="00412404">
        <w:trPr>
          <w:cantSplit/>
          <w:jc w:val="center"/>
        </w:trPr>
        <w:tc>
          <w:tcPr>
            <w:tcW w:w="1677" w:type="dxa"/>
            <w:vMerge/>
          </w:tcPr>
          <w:p w:rsidR="009F1477" w:rsidRPr="007971AB" w:rsidRDefault="009F1477" w:rsidP="00412404">
            <w:pPr>
              <w:pStyle w:val="Copyright"/>
            </w:pPr>
          </w:p>
        </w:tc>
        <w:tc>
          <w:tcPr>
            <w:tcW w:w="3206" w:type="dxa"/>
            <w:gridSpan w:val="2"/>
          </w:tcPr>
          <w:p w:rsidR="009F1477" w:rsidRPr="007971AB" w:rsidRDefault="009F1477" w:rsidP="00412404">
            <w:pPr>
              <w:pStyle w:val="TAL"/>
              <w:keepNext w:val="0"/>
              <w:keepLines w:val="0"/>
            </w:pPr>
            <w:r w:rsidRPr="007971AB">
              <w:t>Payload sizes, bit</w:t>
            </w:r>
          </w:p>
        </w:tc>
        <w:tc>
          <w:tcPr>
            <w:tcW w:w="4621" w:type="dxa"/>
          </w:tcPr>
          <w:p w:rsidR="009F1477" w:rsidRPr="007971AB" w:rsidRDefault="009F1477" w:rsidP="00412404">
            <w:pPr>
              <w:pStyle w:val="TAC"/>
              <w:keepNext w:val="0"/>
              <w:keepLines w:val="0"/>
            </w:pPr>
            <w:r w:rsidRPr="007971AB">
              <w:t>240 (alt. 80)</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Max data rate, bps</w:t>
            </w:r>
          </w:p>
        </w:tc>
        <w:tc>
          <w:tcPr>
            <w:tcW w:w="4621" w:type="dxa"/>
          </w:tcPr>
          <w:p w:rsidR="009F1477" w:rsidRPr="007971AB" w:rsidRDefault="009F1477" w:rsidP="00412404">
            <w:pPr>
              <w:pStyle w:val="TAC"/>
              <w:keepNext w:val="0"/>
              <w:keepLines w:val="0"/>
            </w:pPr>
            <w:r w:rsidRPr="007971AB">
              <w:t>24 000 (alt. 8 000)</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proofErr w:type="spellStart"/>
            <w:r w:rsidRPr="007971AB">
              <w:t>TrD</w:t>
            </w:r>
            <w:proofErr w:type="spellEnd"/>
            <w:r w:rsidRPr="007971AB">
              <w:t xml:space="preserve"> PDU header, bit</w:t>
            </w:r>
          </w:p>
        </w:tc>
        <w:tc>
          <w:tcPr>
            <w:tcW w:w="4621" w:type="dxa"/>
          </w:tcPr>
          <w:p w:rsidR="009F1477" w:rsidRPr="007971AB" w:rsidRDefault="009F1477" w:rsidP="00412404">
            <w:pPr>
              <w:pStyle w:val="TAC"/>
              <w:keepNext w:val="0"/>
              <w:keepLines w:val="0"/>
            </w:pPr>
            <w:r w:rsidRPr="007971AB">
              <w:t>0</w:t>
            </w:r>
          </w:p>
        </w:tc>
      </w:tr>
      <w:tr w:rsidR="009F1477" w:rsidRPr="007971AB" w:rsidTr="00412404">
        <w:trPr>
          <w:cantSplit/>
          <w:jc w:val="center"/>
        </w:trPr>
        <w:tc>
          <w:tcPr>
            <w:tcW w:w="1677" w:type="dxa"/>
            <w:vMerge w:val="restart"/>
          </w:tcPr>
          <w:p w:rsidR="009F1477" w:rsidRPr="007971AB" w:rsidRDefault="009F1477" w:rsidP="00412404">
            <w:pPr>
              <w:pStyle w:val="TAL"/>
              <w:keepNext w:val="0"/>
              <w:keepLines w:val="0"/>
            </w:pPr>
            <w:r w:rsidRPr="007971AB">
              <w:t>MAC</w:t>
            </w:r>
          </w:p>
        </w:tc>
        <w:tc>
          <w:tcPr>
            <w:tcW w:w="3206" w:type="dxa"/>
            <w:gridSpan w:val="2"/>
          </w:tcPr>
          <w:p w:rsidR="009F1477" w:rsidRPr="007971AB" w:rsidRDefault="009F1477" w:rsidP="00412404">
            <w:pPr>
              <w:pStyle w:val="TAL"/>
              <w:keepNext w:val="0"/>
              <w:keepLines w:val="0"/>
            </w:pPr>
            <w:r w:rsidRPr="007971AB">
              <w:t>MAC header, bit</w:t>
            </w:r>
          </w:p>
        </w:tc>
        <w:tc>
          <w:tcPr>
            <w:tcW w:w="4621" w:type="dxa"/>
          </w:tcPr>
          <w:p w:rsidR="009F1477" w:rsidRPr="007971AB" w:rsidRDefault="009F1477" w:rsidP="00412404">
            <w:pPr>
              <w:pStyle w:val="TAC"/>
              <w:keepNext w:val="0"/>
              <w:keepLines w:val="0"/>
            </w:pPr>
            <w:r w:rsidRPr="007971AB">
              <w:t>0</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MAC multiplexing</w:t>
            </w:r>
          </w:p>
        </w:tc>
        <w:tc>
          <w:tcPr>
            <w:tcW w:w="4621" w:type="dxa"/>
          </w:tcPr>
          <w:p w:rsidR="009F1477" w:rsidRPr="007971AB" w:rsidRDefault="009F1477" w:rsidP="00412404">
            <w:pPr>
              <w:pStyle w:val="TAC"/>
              <w:keepNext w:val="0"/>
              <w:keepLines w:val="0"/>
            </w:pPr>
            <w:r w:rsidRPr="007971AB">
              <w:t>N/A</w:t>
            </w:r>
          </w:p>
        </w:tc>
      </w:tr>
      <w:tr w:rsidR="009F1477" w:rsidRPr="007971AB" w:rsidTr="00412404">
        <w:trPr>
          <w:cantSplit/>
          <w:jc w:val="center"/>
        </w:trPr>
        <w:tc>
          <w:tcPr>
            <w:tcW w:w="1677" w:type="dxa"/>
            <w:vMerge w:val="restart"/>
          </w:tcPr>
          <w:p w:rsidR="009F1477" w:rsidRPr="007971AB" w:rsidRDefault="009F1477" w:rsidP="00412404">
            <w:pPr>
              <w:pStyle w:val="TAL"/>
              <w:keepNext w:val="0"/>
              <w:keepLines w:val="0"/>
            </w:pPr>
            <w:r w:rsidRPr="007971AB">
              <w:t>Layer 1</w:t>
            </w:r>
          </w:p>
        </w:tc>
        <w:tc>
          <w:tcPr>
            <w:tcW w:w="3206" w:type="dxa"/>
            <w:gridSpan w:val="2"/>
          </w:tcPr>
          <w:p w:rsidR="009F1477" w:rsidRPr="007971AB" w:rsidRDefault="009F1477" w:rsidP="00412404">
            <w:pPr>
              <w:pStyle w:val="TAL"/>
              <w:keepNext w:val="0"/>
              <w:keepLines w:val="0"/>
            </w:pPr>
            <w:proofErr w:type="spellStart"/>
            <w:r w:rsidRPr="007971AB">
              <w:t>TrCH</w:t>
            </w:r>
            <w:proofErr w:type="spellEnd"/>
            <w:r w:rsidRPr="007971AB">
              <w:t xml:space="preserve"> type</w:t>
            </w:r>
          </w:p>
        </w:tc>
        <w:tc>
          <w:tcPr>
            <w:tcW w:w="4621" w:type="dxa"/>
          </w:tcPr>
          <w:p w:rsidR="009F1477" w:rsidRPr="007971AB" w:rsidRDefault="009F1477" w:rsidP="00412404">
            <w:pPr>
              <w:pStyle w:val="TAC"/>
              <w:keepNext w:val="0"/>
              <w:keepLines w:val="0"/>
            </w:pPr>
            <w:r w:rsidRPr="007971AB">
              <w:t>PCH</w:t>
            </w:r>
          </w:p>
        </w:tc>
      </w:tr>
      <w:tr w:rsidR="009F1477" w:rsidRPr="007971AB" w:rsidTr="00412404">
        <w:trPr>
          <w:cantSplit/>
          <w:jc w:val="center"/>
        </w:trPr>
        <w:tc>
          <w:tcPr>
            <w:tcW w:w="1677" w:type="dxa"/>
            <w:vMerge/>
          </w:tcPr>
          <w:p w:rsidR="009F1477" w:rsidRPr="007971AB" w:rsidRDefault="009F1477" w:rsidP="00412404">
            <w:pPr>
              <w:pStyle w:val="Copyright"/>
            </w:pPr>
          </w:p>
        </w:tc>
        <w:tc>
          <w:tcPr>
            <w:tcW w:w="3206" w:type="dxa"/>
            <w:gridSpan w:val="2"/>
          </w:tcPr>
          <w:p w:rsidR="009F1477" w:rsidRPr="007971AB" w:rsidRDefault="009F1477" w:rsidP="00412404">
            <w:pPr>
              <w:pStyle w:val="TAL"/>
              <w:keepNext w:val="0"/>
              <w:keepLines w:val="0"/>
            </w:pPr>
            <w:r w:rsidRPr="007971AB">
              <w:t>TB sizes, bit</w:t>
            </w:r>
          </w:p>
        </w:tc>
        <w:tc>
          <w:tcPr>
            <w:tcW w:w="4621" w:type="dxa"/>
          </w:tcPr>
          <w:p w:rsidR="009F1477" w:rsidRPr="007971AB" w:rsidRDefault="009F1477" w:rsidP="00412404">
            <w:pPr>
              <w:pStyle w:val="TAC"/>
              <w:keepNext w:val="0"/>
              <w:keepLines w:val="0"/>
            </w:pPr>
            <w:r w:rsidRPr="007971AB">
              <w:t>240 (alt. 80)</w:t>
            </w:r>
          </w:p>
        </w:tc>
      </w:tr>
      <w:tr w:rsidR="009F1477" w:rsidRPr="007971AB" w:rsidTr="00412404">
        <w:trPr>
          <w:cantSplit/>
          <w:jc w:val="center"/>
        </w:trPr>
        <w:tc>
          <w:tcPr>
            <w:tcW w:w="1677" w:type="dxa"/>
            <w:vMerge/>
          </w:tcPr>
          <w:p w:rsidR="009F1477" w:rsidRPr="007971AB" w:rsidRDefault="009F1477" w:rsidP="00412404">
            <w:pPr>
              <w:pStyle w:val="Copyright"/>
            </w:pPr>
          </w:p>
        </w:tc>
        <w:tc>
          <w:tcPr>
            <w:tcW w:w="1603" w:type="dxa"/>
            <w:vMerge w:val="restart"/>
          </w:tcPr>
          <w:p w:rsidR="009F1477" w:rsidRPr="007971AB" w:rsidRDefault="009F1477" w:rsidP="00412404">
            <w:pPr>
              <w:pStyle w:val="TAL"/>
              <w:keepNext w:val="0"/>
              <w:keepLines w:val="0"/>
            </w:pPr>
            <w:r w:rsidRPr="007971AB">
              <w:t>TFS</w:t>
            </w:r>
          </w:p>
        </w:tc>
        <w:tc>
          <w:tcPr>
            <w:tcW w:w="1603" w:type="dxa"/>
          </w:tcPr>
          <w:p w:rsidR="009F1477" w:rsidRPr="007971AB" w:rsidRDefault="009F1477" w:rsidP="00412404">
            <w:pPr>
              <w:pStyle w:val="TAL"/>
              <w:keepNext w:val="0"/>
              <w:keepLines w:val="0"/>
            </w:pPr>
            <w:r w:rsidRPr="007971AB">
              <w:t xml:space="preserve">TF0, </w:t>
            </w:r>
            <w:proofErr w:type="spellStart"/>
            <w:r w:rsidRPr="007971AB">
              <w:t>bts</w:t>
            </w:r>
            <w:proofErr w:type="spellEnd"/>
          </w:p>
        </w:tc>
        <w:tc>
          <w:tcPr>
            <w:tcW w:w="4621" w:type="dxa"/>
          </w:tcPr>
          <w:p w:rsidR="009F1477" w:rsidRPr="007971AB" w:rsidRDefault="009F1477" w:rsidP="00412404">
            <w:pPr>
              <w:pStyle w:val="TAC"/>
              <w:keepNext w:val="0"/>
              <w:keepLines w:val="0"/>
            </w:pPr>
            <w:r w:rsidRPr="007971AB">
              <w:t>0x240 (alt. 0x80)</w:t>
            </w:r>
          </w:p>
        </w:tc>
      </w:tr>
      <w:tr w:rsidR="009F1477" w:rsidRPr="007971AB" w:rsidTr="00412404">
        <w:trPr>
          <w:cantSplit/>
          <w:jc w:val="center"/>
        </w:trPr>
        <w:tc>
          <w:tcPr>
            <w:tcW w:w="1677" w:type="dxa"/>
            <w:vMerge/>
          </w:tcPr>
          <w:p w:rsidR="009F1477" w:rsidRPr="007971AB" w:rsidRDefault="009F1477" w:rsidP="00412404">
            <w:pPr>
              <w:pStyle w:val="Copyright"/>
            </w:pPr>
          </w:p>
        </w:tc>
        <w:tc>
          <w:tcPr>
            <w:tcW w:w="1603" w:type="dxa"/>
            <w:vMerge/>
          </w:tcPr>
          <w:p w:rsidR="009F1477" w:rsidRPr="007971AB" w:rsidRDefault="009F1477" w:rsidP="00412404">
            <w:pPr>
              <w:pStyle w:val="TAL"/>
              <w:keepNext w:val="0"/>
              <w:keepLines w:val="0"/>
            </w:pPr>
          </w:p>
        </w:tc>
        <w:tc>
          <w:tcPr>
            <w:tcW w:w="1603" w:type="dxa"/>
          </w:tcPr>
          <w:p w:rsidR="009F1477" w:rsidRPr="007971AB" w:rsidRDefault="009F1477" w:rsidP="00412404">
            <w:pPr>
              <w:pStyle w:val="TAL"/>
              <w:keepNext w:val="0"/>
              <w:keepLines w:val="0"/>
            </w:pPr>
            <w:r w:rsidRPr="007971AB">
              <w:t>TF1, bits</w:t>
            </w:r>
          </w:p>
        </w:tc>
        <w:tc>
          <w:tcPr>
            <w:tcW w:w="4621" w:type="dxa"/>
          </w:tcPr>
          <w:p w:rsidR="009F1477" w:rsidRPr="007971AB" w:rsidRDefault="009F1477" w:rsidP="00412404">
            <w:pPr>
              <w:pStyle w:val="TAC"/>
              <w:keepNext w:val="0"/>
              <w:keepLines w:val="0"/>
            </w:pPr>
            <w:r w:rsidRPr="007971AB">
              <w:t>1x240 (alt. 1x80)</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 xml:space="preserve">TTI, </w:t>
            </w:r>
            <w:proofErr w:type="spellStart"/>
            <w:r w:rsidRPr="007971AB">
              <w:t>ms</w:t>
            </w:r>
            <w:proofErr w:type="spellEnd"/>
          </w:p>
        </w:tc>
        <w:tc>
          <w:tcPr>
            <w:tcW w:w="4621" w:type="dxa"/>
          </w:tcPr>
          <w:p w:rsidR="009F1477" w:rsidRPr="007971AB" w:rsidRDefault="009F1477" w:rsidP="00412404">
            <w:pPr>
              <w:pStyle w:val="TAC"/>
              <w:keepNext w:val="0"/>
              <w:keepLines w:val="0"/>
            </w:pPr>
            <w:r w:rsidRPr="007971AB">
              <w:t>10</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Coding type</w:t>
            </w:r>
          </w:p>
        </w:tc>
        <w:tc>
          <w:tcPr>
            <w:tcW w:w="4621" w:type="dxa"/>
          </w:tcPr>
          <w:p w:rsidR="009F1477" w:rsidRPr="007971AB" w:rsidRDefault="009F1477" w:rsidP="00412404">
            <w:pPr>
              <w:pStyle w:val="TAC"/>
              <w:keepNext w:val="0"/>
              <w:keepLines w:val="0"/>
            </w:pPr>
            <w:r w:rsidRPr="007971AB">
              <w:t>CC 1/2</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CRC, bit</w:t>
            </w:r>
          </w:p>
        </w:tc>
        <w:tc>
          <w:tcPr>
            <w:tcW w:w="4621" w:type="dxa"/>
          </w:tcPr>
          <w:p w:rsidR="009F1477" w:rsidRPr="007971AB" w:rsidRDefault="009F1477" w:rsidP="00412404">
            <w:pPr>
              <w:pStyle w:val="TAC"/>
              <w:keepNext w:val="0"/>
              <w:keepLines w:val="0"/>
            </w:pPr>
            <w:r w:rsidRPr="007971AB">
              <w:t>16</w:t>
            </w:r>
          </w:p>
        </w:tc>
      </w:tr>
      <w:tr w:rsidR="009F1477" w:rsidRPr="007971AB" w:rsidTr="00412404">
        <w:trPr>
          <w:cantSplit/>
          <w:jc w:val="center"/>
        </w:trPr>
        <w:tc>
          <w:tcPr>
            <w:tcW w:w="1677" w:type="dxa"/>
            <w:vMerge/>
          </w:tcPr>
          <w:p w:rsidR="009F1477" w:rsidRPr="007971AB" w:rsidRDefault="009F1477" w:rsidP="00412404">
            <w:pPr>
              <w:pStyle w:val="Copyright"/>
            </w:pPr>
          </w:p>
        </w:tc>
        <w:tc>
          <w:tcPr>
            <w:tcW w:w="3206" w:type="dxa"/>
            <w:gridSpan w:val="2"/>
          </w:tcPr>
          <w:p w:rsidR="009F1477" w:rsidRPr="007971AB" w:rsidRDefault="009F1477" w:rsidP="00412404">
            <w:pPr>
              <w:pStyle w:val="TAL"/>
              <w:keepNext w:val="0"/>
              <w:keepLines w:val="0"/>
            </w:pPr>
            <w:r w:rsidRPr="007971AB">
              <w:t>Max number of bits/TTI before rate matching</w:t>
            </w:r>
          </w:p>
        </w:tc>
        <w:tc>
          <w:tcPr>
            <w:tcW w:w="4621" w:type="dxa"/>
          </w:tcPr>
          <w:p w:rsidR="009F1477" w:rsidRPr="007971AB" w:rsidRDefault="009F1477" w:rsidP="00412404">
            <w:pPr>
              <w:pStyle w:val="TAC"/>
              <w:keepNext w:val="0"/>
              <w:keepLines w:val="0"/>
            </w:pPr>
            <w:r w:rsidRPr="007971AB">
              <w:t>528 (alt. 208)</w:t>
            </w:r>
          </w:p>
        </w:tc>
      </w:tr>
      <w:tr w:rsidR="009F1477" w:rsidRPr="007971AB" w:rsidTr="00412404">
        <w:trPr>
          <w:cantSplit/>
          <w:jc w:val="center"/>
        </w:trPr>
        <w:tc>
          <w:tcPr>
            <w:tcW w:w="1677" w:type="dxa"/>
            <w:vMerge/>
          </w:tcPr>
          <w:p w:rsidR="009F1477" w:rsidRPr="007971AB" w:rsidRDefault="009F1477" w:rsidP="00412404">
            <w:pPr>
              <w:pStyle w:val="TAL"/>
              <w:keepNext w:val="0"/>
              <w:keepLines w:val="0"/>
            </w:pPr>
          </w:p>
        </w:tc>
        <w:tc>
          <w:tcPr>
            <w:tcW w:w="3206" w:type="dxa"/>
            <w:gridSpan w:val="2"/>
          </w:tcPr>
          <w:p w:rsidR="009F1477" w:rsidRPr="007971AB" w:rsidRDefault="009F1477" w:rsidP="00412404">
            <w:pPr>
              <w:pStyle w:val="TAL"/>
              <w:keepNext w:val="0"/>
              <w:keepLines w:val="0"/>
            </w:pPr>
            <w:r w:rsidRPr="007971AB">
              <w:t>RM attribute</w:t>
            </w:r>
          </w:p>
        </w:tc>
        <w:tc>
          <w:tcPr>
            <w:tcW w:w="4621" w:type="dxa"/>
          </w:tcPr>
          <w:p w:rsidR="009F1477" w:rsidRPr="007971AB" w:rsidRDefault="009F1477" w:rsidP="00412404">
            <w:pPr>
              <w:pStyle w:val="TAC"/>
              <w:keepNext w:val="0"/>
              <w:keepLines w:val="0"/>
            </w:pPr>
            <w:r w:rsidRPr="007971AB">
              <w:t>210 to 250</w:t>
            </w:r>
          </w:p>
        </w:tc>
      </w:tr>
    </w:tbl>
    <w:p w:rsidR="009F1477" w:rsidRPr="007971AB" w:rsidRDefault="009F1477" w:rsidP="009F1477"/>
    <w:p w:rsidR="009F1477" w:rsidRPr="007971AB" w:rsidRDefault="009F1477" w:rsidP="009F1477">
      <w:pPr>
        <w:pStyle w:val="H6"/>
        <w:keepNext w:val="0"/>
        <w:keepLines w:val="0"/>
      </w:pPr>
      <w:r w:rsidRPr="007971AB">
        <w:t>6.10.2.4.3.1.1.2</w:t>
      </w:r>
      <w:r w:rsidRPr="007971AB">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9F1477" w:rsidRPr="007971AB" w:rsidTr="00412404">
        <w:trPr>
          <w:jc w:val="center"/>
        </w:trPr>
        <w:tc>
          <w:tcPr>
            <w:tcW w:w="1631" w:type="dxa"/>
          </w:tcPr>
          <w:p w:rsidR="009F1477" w:rsidRPr="007971AB" w:rsidRDefault="009F1477" w:rsidP="00412404">
            <w:pPr>
              <w:pStyle w:val="TAL"/>
              <w:keepNext w:val="0"/>
              <w:keepLines w:val="0"/>
            </w:pPr>
            <w:r w:rsidRPr="007971AB">
              <w:t>TFCS size</w:t>
            </w:r>
          </w:p>
        </w:tc>
        <w:tc>
          <w:tcPr>
            <w:tcW w:w="7860" w:type="dxa"/>
          </w:tcPr>
          <w:p w:rsidR="009F1477" w:rsidRPr="007971AB" w:rsidRDefault="009F1477" w:rsidP="00412404">
            <w:pPr>
              <w:pStyle w:val="TAL"/>
              <w:keepNext w:val="0"/>
              <w:keepLines w:val="0"/>
            </w:pPr>
            <w:r w:rsidRPr="007971AB">
              <w:t>2</w:t>
            </w:r>
          </w:p>
        </w:tc>
      </w:tr>
      <w:tr w:rsidR="009F1477" w:rsidRPr="007971AB" w:rsidTr="00412404">
        <w:trPr>
          <w:jc w:val="center"/>
        </w:trPr>
        <w:tc>
          <w:tcPr>
            <w:tcW w:w="1631" w:type="dxa"/>
          </w:tcPr>
          <w:p w:rsidR="009F1477" w:rsidRPr="007971AB" w:rsidRDefault="009F1477" w:rsidP="00412404">
            <w:pPr>
              <w:pStyle w:val="TAL"/>
              <w:keepNext w:val="0"/>
              <w:keepLines w:val="0"/>
            </w:pPr>
            <w:r w:rsidRPr="007971AB">
              <w:t>TFCS</w:t>
            </w:r>
          </w:p>
        </w:tc>
        <w:tc>
          <w:tcPr>
            <w:tcW w:w="7860" w:type="dxa"/>
          </w:tcPr>
          <w:p w:rsidR="009F1477" w:rsidRPr="007971AB" w:rsidRDefault="009F1477" w:rsidP="00412404">
            <w:pPr>
              <w:pStyle w:val="TAL"/>
              <w:keepNext w:val="0"/>
              <w:keepLines w:val="0"/>
            </w:pPr>
            <w:r w:rsidRPr="007971AB">
              <w:t>SRBs for PCCH = TF0, TF1</w:t>
            </w:r>
          </w:p>
        </w:tc>
      </w:tr>
    </w:tbl>
    <w:p w:rsidR="009F1477" w:rsidRPr="007971AB" w:rsidRDefault="009F1477" w:rsidP="009F1477"/>
    <w:p w:rsidR="009F1477" w:rsidRPr="007971AB" w:rsidRDefault="009F1477" w:rsidP="009F1477">
      <w:pPr>
        <w:pStyle w:val="H6"/>
        <w:keepNext w:val="0"/>
        <w:keepLines w:val="0"/>
      </w:pPr>
      <w:r w:rsidRPr="007971AB">
        <w:t>6.10.2.4.3.1.2</w:t>
      </w:r>
      <w:r w:rsidRPr="007971AB">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91"/>
        <w:gridCol w:w="4759"/>
        <w:gridCol w:w="2914"/>
      </w:tblGrid>
      <w:tr w:rsidR="009F1477" w:rsidRPr="007971AB" w:rsidTr="00412404">
        <w:trPr>
          <w:cantSplit/>
          <w:jc w:val="center"/>
        </w:trPr>
        <w:tc>
          <w:tcPr>
            <w:tcW w:w="1691" w:type="dxa"/>
            <w:vMerge w:val="restart"/>
          </w:tcPr>
          <w:p w:rsidR="009F1477" w:rsidRPr="007971AB" w:rsidRDefault="009F1477" w:rsidP="00412404">
            <w:pPr>
              <w:pStyle w:val="TAL"/>
              <w:keepNext w:val="0"/>
              <w:keepLines w:val="0"/>
            </w:pPr>
            <w:r w:rsidRPr="007971AB">
              <w:t>SCCPCH</w:t>
            </w:r>
          </w:p>
        </w:tc>
        <w:tc>
          <w:tcPr>
            <w:tcW w:w="4759" w:type="dxa"/>
          </w:tcPr>
          <w:p w:rsidR="009F1477" w:rsidRPr="007971AB" w:rsidRDefault="009F1477" w:rsidP="00412404">
            <w:pPr>
              <w:pStyle w:val="TAL"/>
              <w:keepNext w:val="0"/>
              <w:keepLines w:val="0"/>
            </w:pPr>
            <w:r w:rsidRPr="007971AB">
              <w:t>TFCS size</w:t>
            </w:r>
          </w:p>
        </w:tc>
        <w:tc>
          <w:tcPr>
            <w:tcW w:w="2914" w:type="dxa"/>
          </w:tcPr>
          <w:p w:rsidR="009F1477" w:rsidRPr="007971AB" w:rsidRDefault="009F1477" w:rsidP="00412404">
            <w:pPr>
              <w:pStyle w:val="TAC"/>
              <w:keepNext w:val="0"/>
              <w:keepLines w:val="0"/>
            </w:pPr>
            <w:r w:rsidRPr="007971AB">
              <w:t>2</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DTX position</w:t>
            </w:r>
          </w:p>
        </w:tc>
        <w:tc>
          <w:tcPr>
            <w:tcW w:w="2914" w:type="dxa"/>
          </w:tcPr>
          <w:p w:rsidR="009F1477" w:rsidRPr="007971AB" w:rsidRDefault="009F1477" w:rsidP="00412404">
            <w:pPr>
              <w:pStyle w:val="TAC"/>
              <w:keepNext w:val="0"/>
              <w:keepLines w:val="0"/>
            </w:pPr>
            <w:r w:rsidRPr="007971AB">
              <w:t>Fixed</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Spreading factor</w:t>
            </w:r>
          </w:p>
        </w:tc>
        <w:tc>
          <w:tcPr>
            <w:tcW w:w="2914" w:type="dxa"/>
          </w:tcPr>
          <w:p w:rsidR="009F1477" w:rsidRPr="007971AB" w:rsidRDefault="009F1477" w:rsidP="00412404">
            <w:pPr>
              <w:pStyle w:val="TAC"/>
              <w:keepNext w:val="0"/>
              <w:keepLines w:val="0"/>
            </w:pPr>
            <w:r w:rsidRPr="007971AB">
              <w:t>128 (alt. 256)</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Number of TFCI bits/slot</w:t>
            </w:r>
          </w:p>
        </w:tc>
        <w:tc>
          <w:tcPr>
            <w:tcW w:w="2914" w:type="dxa"/>
          </w:tcPr>
          <w:p w:rsidR="009F1477" w:rsidRPr="007971AB" w:rsidRDefault="009F1477" w:rsidP="00412404">
            <w:pPr>
              <w:pStyle w:val="TAC"/>
              <w:keepNext w:val="0"/>
              <w:keepLines w:val="0"/>
            </w:pPr>
            <w:r w:rsidRPr="007971AB">
              <w:t>0</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Number of Pilot bits/slot</w:t>
            </w:r>
          </w:p>
        </w:tc>
        <w:tc>
          <w:tcPr>
            <w:tcW w:w="2914" w:type="dxa"/>
          </w:tcPr>
          <w:p w:rsidR="009F1477" w:rsidRPr="007971AB" w:rsidRDefault="009F1477" w:rsidP="00412404">
            <w:pPr>
              <w:pStyle w:val="TAC"/>
              <w:keepNext w:val="0"/>
              <w:keepLines w:val="0"/>
            </w:pPr>
            <w:r w:rsidRPr="007971AB">
              <w:t>0</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Number of data bits/slot</w:t>
            </w:r>
          </w:p>
        </w:tc>
        <w:tc>
          <w:tcPr>
            <w:tcW w:w="2914" w:type="dxa"/>
          </w:tcPr>
          <w:p w:rsidR="009F1477" w:rsidRPr="007971AB" w:rsidRDefault="009F1477" w:rsidP="00412404">
            <w:pPr>
              <w:pStyle w:val="TAC"/>
              <w:keepNext w:val="0"/>
              <w:keepLines w:val="0"/>
            </w:pPr>
            <w:r w:rsidRPr="007971AB">
              <w:t>40 (alt. 20)</w:t>
            </w:r>
          </w:p>
        </w:tc>
      </w:tr>
      <w:tr w:rsidR="009F1477" w:rsidRPr="007971AB" w:rsidTr="00412404">
        <w:trPr>
          <w:cantSplit/>
          <w:jc w:val="center"/>
        </w:trPr>
        <w:tc>
          <w:tcPr>
            <w:tcW w:w="1691" w:type="dxa"/>
            <w:vMerge/>
          </w:tcPr>
          <w:p w:rsidR="009F1477" w:rsidRPr="007971AB" w:rsidRDefault="009F1477" w:rsidP="00412404">
            <w:pPr>
              <w:pStyle w:val="TAL"/>
              <w:keepNext w:val="0"/>
              <w:keepLines w:val="0"/>
            </w:pPr>
          </w:p>
        </w:tc>
        <w:tc>
          <w:tcPr>
            <w:tcW w:w="4759" w:type="dxa"/>
          </w:tcPr>
          <w:p w:rsidR="009F1477" w:rsidRPr="007971AB" w:rsidRDefault="009F1477" w:rsidP="00412404">
            <w:pPr>
              <w:pStyle w:val="TAL"/>
              <w:keepNext w:val="0"/>
              <w:keepLines w:val="0"/>
            </w:pPr>
            <w:r w:rsidRPr="007971AB">
              <w:t>Number of data bits/frame</w:t>
            </w:r>
          </w:p>
        </w:tc>
        <w:tc>
          <w:tcPr>
            <w:tcW w:w="2914" w:type="dxa"/>
          </w:tcPr>
          <w:p w:rsidR="009F1477" w:rsidRPr="007971AB" w:rsidRDefault="009F1477" w:rsidP="00412404">
            <w:pPr>
              <w:pStyle w:val="TAC"/>
              <w:keepNext w:val="0"/>
              <w:keepLines w:val="0"/>
            </w:pPr>
            <w:r w:rsidRPr="007971AB">
              <w:t>600 (alt. 300)</w:t>
            </w:r>
          </w:p>
        </w:tc>
      </w:tr>
    </w:tbl>
    <w:p w:rsidR="009F1477" w:rsidRPr="007971AB" w:rsidRDefault="009F1477" w:rsidP="009F1477"/>
    <w:p w:rsidR="009F1477" w:rsidRPr="00AB6D1D" w:rsidRDefault="009F1477" w:rsidP="009F1477"/>
    <w:sectPr w:rsidR="009F1477" w:rsidRPr="00AB6D1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E57" w:rsidRDefault="00765E57">
      <w:r>
        <w:separator/>
      </w:r>
    </w:p>
  </w:endnote>
  <w:endnote w:type="continuationSeparator" w:id="0">
    <w:p w:rsidR="00765E57" w:rsidRDefault="0076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52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524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E57" w:rsidRDefault="00765E57">
      <w:r>
        <w:separator/>
      </w:r>
    </w:p>
  </w:footnote>
  <w:footnote w:type="continuationSeparator" w:id="0">
    <w:p w:rsidR="00765E57" w:rsidRDefault="00765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FFFFFFFE"/>
    <w:multiLevelType w:val="singleLevel"/>
    <w:tmpl w:val="FFFFFFFF"/>
    <w:lvl w:ilvl="0">
      <w:numFmt w:val="decimal"/>
      <w:lvlText w:val="*"/>
      <w:lvlJc w:val="left"/>
    </w:lvl>
  </w:abstractNum>
  <w:abstractNum w:abstractNumId="6">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3">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3"/>
  </w:num>
  <w:num w:numId="4">
    <w:abstractNumId w:val="24"/>
  </w:num>
  <w:num w:numId="5">
    <w:abstractNumId w:val="18"/>
  </w:num>
  <w:num w:numId="6">
    <w:abstractNumId w:val="28"/>
  </w:num>
  <w:num w:numId="7">
    <w:abstractNumId w:val="38"/>
  </w:num>
  <w:num w:numId="8">
    <w:abstractNumId w:val="20"/>
  </w:num>
  <w:num w:numId="9">
    <w:abstractNumId w:val="15"/>
  </w:num>
  <w:num w:numId="10">
    <w:abstractNumId w:val="21"/>
  </w:num>
  <w:num w:numId="11">
    <w:abstractNumId w:val="4"/>
  </w:num>
  <w:num w:numId="12">
    <w:abstractNumId w:val="13"/>
  </w:num>
  <w:num w:numId="13">
    <w:abstractNumId w:val="26"/>
  </w:num>
  <w:num w:numId="14">
    <w:abstractNumId w:val="11"/>
  </w:num>
  <w:num w:numId="15">
    <w:abstractNumId w:val="14"/>
  </w:num>
  <w:num w:numId="16">
    <w:abstractNumId w:val="22"/>
  </w:num>
  <w:num w:numId="17">
    <w:abstractNumId w:val="7"/>
  </w:num>
  <w:num w:numId="18">
    <w:abstractNumId w:val="27"/>
  </w:num>
  <w:num w:numId="19">
    <w:abstractNumId w:val="2"/>
  </w:num>
  <w:num w:numId="20">
    <w:abstractNumId w:val="1"/>
  </w:num>
  <w:num w:numId="21">
    <w:abstractNumId w:val="0"/>
  </w:num>
  <w:num w:numId="22">
    <w:abstractNumId w:val="41"/>
  </w:num>
  <w:num w:numId="23">
    <w:abstractNumId w:val="30"/>
  </w:num>
  <w:num w:numId="24">
    <w:abstractNumId w:val="36"/>
  </w:num>
  <w:num w:numId="25">
    <w:abstractNumId w:val="25"/>
  </w:num>
  <w:num w:numId="26">
    <w:abstractNumId w:val="9"/>
  </w:num>
  <w:num w:numId="27">
    <w:abstractNumId w:val="17"/>
  </w:num>
  <w:num w:numId="28">
    <w:abstractNumId w:val="32"/>
  </w:num>
  <w:num w:numId="29">
    <w:abstractNumId w:val="10"/>
  </w:num>
  <w:num w:numId="30">
    <w:abstractNumId w:val="29"/>
  </w:num>
  <w:num w:numId="31">
    <w:abstractNumId w:val="44"/>
  </w:num>
  <w:num w:numId="32">
    <w:abstractNumId w:val="19"/>
  </w:num>
  <w:num w:numId="33">
    <w:abstractNumId w:val="37"/>
  </w:num>
  <w:num w:numId="34">
    <w:abstractNumId w:val="34"/>
  </w:num>
  <w:num w:numId="35">
    <w:abstractNumId w:val="8"/>
  </w:num>
  <w:num w:numId="36">
    <w:abstractNumId w:val="35"/>
  </w:num>
  <w:num w:numId="37">
    <w:abstractNumId w:val="3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6"/>
  </w:num>
  <w:num w:numId="41">
    <w:abstractNumId w:val="39"/>
  </w:num>
  <w:num w:numId="42">
    <w:abstractNumId w:val="43"/>
  </w:num>
  <w:num w:numId="4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2"/>
  </w:num>
  <w:num w:numId="45">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69B1"/>
    <w:rsid w:val="00027837"/>
    <w:rsid w:val="000279B7"/>
    <w:rsid w:val="00027DE5"/>
    <w:rsid w:val="00030E62"/>
    <w:rsid w:val="00031182"/>
    <w:rsid w:val="00031C72"/>
    <w:rsid w:val="000324E2"/>
    <w:rsid w:val="000325B8"/>
    <w:rsid w:val="00033D3A"/>
    <w:rsid w:val="00034945"/>
    <w:rsid w:val="00034A8B"/>
    <w:rsid w:val="00034C15"/>
    <w:rsid w:val="00034DCC"/>
    <w:rsid w:val="00035077"/>
    <w:rsid w:val="00035E40"/>
    <w:rsid w:val="000368F8"/>
    <w:rsid w:val="00036BA1"/>
    <w:rsid w:val="000401FA"/>
    <w:rsid w:val="00041016"/>
    <w:rsid w:val="000410BC"/>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25E"/>
    <w:rsid w:val="0008036A"/>
    <w:rsid w:val="00081620"/>
    <w:rsid w:val="0008190F"/>
    <w:rsid w:val="00081AE6"/>
    <w:rsid w:val="000821EC"/>
    <w:rsid w:val="000830A7"/>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5ECD"/>
    <w:rsid w:val="000B61E9"/>
    <w:rsid w:val="000B6931"/>
    <w:rsid w:val="000B6E38"/>
    <w:rsid w:val="000B718E"/>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E7D11"/>
    <w:rsid w:val="000F06D6"/>
    <w:rsid w:val="000F0EB1"/>
    <w:rsid w:val="000F1106"/>
    <w:rsid w:val="000F1648"/>
    <w:rsid w:val="000F3BE9"/>
    <w:rsid w:val="000F3F6C"/>
    <w:rsid w:val="000F6DF3"/>
    <w:rsid w:val="001005FF"/>
    <w:rsid w:val="00100847"/>
    <w:rsid w:val="001037D3"/>
    <w:rsid w:val="00103B18"/>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69BC"/>
    <w:rsid w:val="00167118"/>
    <w:rsid w:val="00167984"/>
    <w:rsid w:val="00170D96"/>
    <w:rsid w:val="001727A0"/>
    <w:rsid w:val="001737F4"/>
    <w:rsid w:val="00173A8E"/>
    <w:rsid w:val="00174013"/>
    <w:rsid w:val="0017705C"/>
    <w:rsid w:val="001770D2"/>
    <w:rsid w:val="00177604"/>
    <w:rsid w:val="0018068D"/>
    <w:rsid w:val="0018143F"/>
    <w:rsid w:val="0018183B"/>
    <w:rsid w:val="00181DCD"/>
    <w:rsid w:val="00182CC0"/>
    <w:rsid w:val="00182D35"/>
    <w:rsid w:val="0018493A"/>
    <w:rsid w:val="00185344"/>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2AA5"/>
    <w:rsid w:val="001B348C"/>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5774"/>
    <w:rsid w:val="001C61EC"/>
    <w:rsid w:val="001C62C4"/>
    <w:rsid w:val="001C6912"/>
    <w:rsid w:val="001C7C48"/>
    <w:rsid w:val="001D05A0"/>
    <w:rsid w:val="001D0A51"/>
    <w:rsid w:val="001D2463"/>
    <w:rsid w:val="001D51BA"/>
    <w:rsid w:val="001D6342"/>
    <w:rsid w:val="001D6D53"/>
    <w:rsid w:val="001E0F2E"/>
    <w:rsid w:val="001E2E0E"/>
    <w:rsid w:val="001E3E2D"/>
    <w:rsid w:val="001E58E2"/>
    <w:rsid w:val="001E5B1B"/>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BFF"/>
    <w:rsid w:val="00235D08"/>
    <w:rsid w:val="0023616A"/>
    <w:rsid w:val="00237B43"/>
    <w:rsid w:val="00240C73"/>
    <w:rsid w:val="00240D9E"/>
    <w:rsid w:val="00241559"/>
    <w:rsid w:val="00241823"/>
    <w:rsid w:val="002435B3"/>
    <w:rsid w:val="00243A85"/>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0F4E"/>
    <w:rsid w:val="0028280A"/>
    <w:rsid w:val="00282B89"/>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97ECF"/>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2A53"/>
    <w:rsid w:val="002C398A"/>
    <w:rsid w:val="002C41E6"/>
    <w:rsid w:val="002C4C5F"/>
    <w:rsid w:val="002C58F2"/>
    <w:rsid w:val="002C6DA0"/>
    <w:rsid w:val="002C7D5C"/>
    <w:rsid w:val="002D071A"/>
    <w:rsid w:val="002D1555"/>
    <w:rsid w:val="002D2401"/>
    <w:rsid w:val="002D2BBB"/>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E7D09"/>
    <w:rsid w:val="002F054D"/>
    <w:rsid w:val="002F093C"/>
    <w:rsid w:val="002F0B7A"/>
    <w:rsid w:val="002F2275"/>
    <w:rsid w:val="002F2290"/>
    <w:rsid w:val="002F2771"/>
    <w:rsid w:val="002F2903"/>
    <w:rsid w:val="002F37A9"/>
    <w:rsid w:val="002F4378"/>
    <w:rsid w:val="002F4D20"/>
    <w:rsid w:val="002F535A"/>
    <w:rsid w:val="003019C5"/>
    <w:rsid w:val="00301CE6"/>
    <w:rsid w:val="00301E15"/>
    <w:rsid w:val="00302002"/>
    <w:rsid w:val="0030256B"/>
    <w:rsid w:val="0030320B"/>
    <w:rsid w:val="0030501F"/>
    <w:rsid w:val="003051ED"/>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37EE"/>
    <w:rsid w:val="003B4154"/>
    <w:rsid w:val="003B6C83"/>
    <w:rsid w:val="003B6F4C"/>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7A"/>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E3B"/>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3A23"/>
    <w:rsid w:val="00434169"/>
    <w:rsid w:val="00435136"/>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42D3"/>
    <w:rsid w:val="00454971"/>
    <w:rsid w:val="00454E63"/>
    <w:rsid w:val="00455206"/>
    <w:rsid w:val="004553CD"/>
    <w:rsid w:val="00457565"/>
    <w:rsid w:val="00457B71"/>
    <w:rsid w:val="00457BF8"/>
    <w:rsid w:val="0046140B"/>
    <w:rsid w:val="00462CFD"/>
    <w:rsid w:val="004637F1"/>
    <w:rsid w:val="004661B1"/>
    <w:rsid w:val="004669E2"/>
    <w:rsid w:val="00470C31"/>
    <w:rsid w:val="004717B4"/>
    <w:rsid w:val="00471D48"/>
    <w:rsid w:val="004734D0"/>
    <w:rsid w:val="004754FE"/>
    <w:rsid w:val="0047556B"/>
    <w:rsid w:val="00477532"/>
    <w:rsid w:val="00477768"/>
    <w:rsid w:val="00480AE0"/>
    <w:rsid w:val="00483F5C"/>
    <w:rsid w:val="0048584D"/>
    <w:rsid w:val="0048759D"/>
    <w:rsid w:val="004904DC"/>
    <w:rsid w:val="00491A7E"/>
    <w:rsid w:val="0049204D"/>
    <w:rsid w:val="00492BC5"/>
    <w:rsid w:val="00492C93"/>
    <w:rsid w:val="004943DD"/>
    <w:rsid w:val="00495157"/>
    <w:rsid w:val="004960A2"/>
    <w:rsid w:val="004964F1"/>
    <w:rsid w:val="004A0D50"/>
    <w:rsid w:val="004A1365"/>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7B4"/>
    <w:rsid w:val="004C3898"/>
    <w:rsid w:val="004C44E2"/>
    <w:rsid w:val="004C45EB"/>
    <w:rsid w:val="004C49A9"/>
    <w:rsid w:val="004C56F3"/>
    <w:rsid w:val="004C581F"/>
    <w:rsid w:val="004C62F0"/>
    <w:rsid w:val="004C7B71"/>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00"/>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123B"/>
    <w:rsid w:val="00552AA2"/>
    <w:rsid w:val="00553985"/>
    <w:rsid w:val="00554B26"/>
    <w:rsid w:val="00554E19"/>
    <w:rsid w:val="005550D0"/>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2C"/>
    <w:rsid w:val="00573BBD"/>
    <w:rsid w:val="00573C73"/>
    <w:rsid w:val="00574440"/>
    <w:rsid w:val="005764D3"/>
    <w:rsid w:val="005809C0"/>
    <w:rsid w:val="00581D79"/>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B7E6F"/>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487D"/>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4F7D"/>
    <w:rsid w:val="0064624E"/>
    <w:rsid w:val="00646F6C"/>
    <w:rsid w:val="006474B7"/>
    <w:rsid w:val="00650AB9"/>
    <w:rsid w:val="00650AC6"/>
    <w:rsid w:val="0065117F"/>
    <w:rsid w:val="0065319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87D36"/>
    <w:rsid w:val="006900D2"/>
    <w:rsid w:val="006919F4"/>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20B"/>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697"/>
    <w:rsid w:val="006E673D"/>
    <w:rsid w:val="006E7207"/>
    <w:rsid w:val="006E7265"/>
    <w:rsid w:val="006E7D3B"/>
    <w:rsid w:val="006F017E"/>
    <w:rsid w:val="006F17D8"/>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12C8"/>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5E57"/>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48E1"/>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794"/>
    <w:rsid w:val="007C497D"/>
    <w:rsid w:val="007C5701"/>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0BE"/>
    <w:rsid w:val="00805836"/>
    <w:rsid w:val="0080605F"/>
    <w:rsid w:val="00807786"/>
    <w:rsid w:val="00807DD0"/>
    <w:rsid w:val="00811DE7"/>
    <w:rsid w:val="00811FCB"/>
    <w:rsid w:val="00812B39"/>
    <w:rsid w:val="00813515"/>
    <w:rsid w:val="00813893"/>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33D8"/>
    <w:rsid w:val="0084443A"/>
    <w:rsid w:val="008444E8"/>
    <w:rsid w:val="00844E80"/>
    <w:rsid w:val="0084599E"/>
    <w:rsid w:val="008462CF"/>
    <w:rsid w:val="00846A06"/>
    <w:rsid w:val="00846FE7"/>
    <w:rsid w:val="008470E8"/>
    <w:rsid w:val="00847FD0"/>
    <w:rsid w:val="00850813"/>
    <w:rsid w:val="008515FF"/>
    <w:rsid w:val="008537EC"/>
    <w:rsid w:val="008539C6"/>
    <w:rsid w:val="00853F44"/>
    <w:rsid w:val="00854762"/>
    <w:rsid w:val="0085583D"/>
    <w:rsid w:val="00855B3D"/>
    <w:rsid w:val="00856911"/>
    <w:rsid w:val="0085722A"/>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0A2"/>
    <w:rsid w:val="00882EEA"/>
    <w:rsid w:val="00883893"/>
    <w:rsid w:val="00885720"/>
    <w:rsid w:val="008860E3"/>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19F5"/>
    <w:rsid w:val="008A21FF"/>
    <w:rsid w:val="008A2C27"/>
    <w:rsid w:val="008A2CE2"/>
    <w:rsid w:val="008A2DE7"/>
    <w:rsid w:val="008A30AC"/>
    <w:rsid w:val="008A4340"/>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59D1"/>
    <w:rsid w:val="008C6AE8"/>
    <w:rsid w:val="008C7573"/>
    <w:rsid w:val="008C78A1"/>
    <w:rsid w:val="008D34F1"/>
    <w:rsid w:val="008D39D8"/>
    <w:rsid w:val="008D3BFB"/>
    <w:rsid w:val="008D4078"/>
    <w:rsid w:val="008D64B0"/>
    <w:rsid w:val="008D6D1A"/>
    <w:rsid w:val="008E0927"/>
    <w:rsid w:val="008E1699"/>
    <w:rsid w:val="008E1909"/>
    <w:rsid w:val="008E2D83"/>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2E6C"/>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551D"/>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5FE"/>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90630"/>
    <w:rsid w:val="00990C65"/>
    <w:rsid w:val="00991761"/>
    <w:rsid w:val="00994DCA"/>
    <w:rsid w:val="0099509C"/>
    <w:rsid w:val="00995817"/>
    <w:rsid w:val="009960EC"/>
    <w:rsid w:val="009970DD"/>
    <w:rsid w:val="009A0176"/>
    <w:rsid w:val="009A0F55"/>
    <w:rsid w:val="009A0FBA"/>
    <w:rsid w:val="009A1601"/>
    <w:rsid w:val="009A165E"/>
    <w:rsid w:val="009A1DC4"/>
    <w:rsid w:val="009A1E85"/>
    <w:rsid w:val="009A31E4"/>
    <w:rsid w:val="009A36DB"/>
    <w:rsid w:val="009A3970"/>
    <w:rsid w:val="009A462D"/>
    <w:rsid w:val="009A5C7C"/>
    <w:rsid w:val="009A5CBA"/>
    <w:rsid w:val="009A63F5"/>
    <w:rsid w:val="009A7823"/>
    <w:rsid w:val="009B093A"/>
    <w:rsid w:val="009B177A"/>
    <w:rsid w:val="009B1F30"/>
    <w:rsid w:val="009B363E"/>
    <w:rsid w:val="009B3AC2"/>
    <w:rsid w:val="009B4317"/>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3927"/>
    <w:rsid w:val="009D4787"/>
    <w:rsid w:val="009D4FF0"/>
    <w:rsid w:val="009D703C"/>
    <w:rsid w:val="009D718F"/>
    <w:rsid w:val="009E068F"/>
    <w:rsid w:val="009E14E0"/>
    <w:rsid w:val="009E274A"/>
    <w:rsid w:val="009E35DB"/>
    <w:rsid w:val="009E3D2A"/>
    <w:rsid w:val="009E47A3"/>
    <w:rsid w:val="009E5C9E"/>
    <w:rsid w:val="009E6629"/>
    <w:rsid w:val="009E6D3C"/>
    <w:rsid w:val="009F08F3"/>
    <w:rsid w:val="009F1477"/>
    <w:rsid w:val="009F1882"/>
    <w:rsid w:val="009F2165"/>
    <w:rsid w:val="009F2293"/>
    <w:rsid w:val="009F344F"/>
    <w:rsid w:val="009F392E"/>
    <w:rsid w:val="009F7632"/>
    <w:rsid w:val="009F7C1A"/>
    <w:rsid w:val="00A00178"/>
    <w:rsid w:val="00A003E9"/>
    <w:rsid w:val="00A011EE"/>
    <w:rsid w:val="00A014DC"/>
    <w:rsid w:val="00A017DD"/>
    <w:rsid w:val="00A01C09"/>
    <w:rsid w:val="00A02E45"/>
    <w:rsid w:val="00A0395C"/>
    <w:rsid w:val="00A048A8"/>
    <w:rsid w:val="00A04B0A"/>
    <w:rsid w:val="00A05C08"/>
    <w:rsid w:val="00A06126"/>
    <w:rsid w:val="00A06E33"/>
    <w:rsid w:val="00A077F6"/>
    <w:rsid w:val="00A11FCA"/>
    <w:rsid w:val="00A12C0B"/>
    <w:rsid w:val="00A13E54"/>
    <w:rsid w:val="00A140AA"/>
    <w:rsid w:val="00A16E36"/>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46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4CD9"/>
    <w:rsid w:val="00AA50C3"/>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204"/>
    <w:rsid w:val="00AC2AD2"/>
    <w:rsid w:val="00AC2ECD"/>
    <w:rsid w:val="00AC2F04"/>
    <w:rsid w:val="00AC3119"/>
    <w:rsid w:val="00AC49FB"/>
    <w:rsid w:val="00AC59BF"/>
    <w:rsid w:val="00AC5A10"/>
    <w:rsid w:val="00AC5D63"/>
    <w:rsid w:val="00AD0AA3"/>
    <w:rsid w:val="00AD17C4"/>
    <w:rsid w:val="00AD1C60"/>
    <w:rsid w:val="00AD1D0E"/>
    <w:rsid w:val="00AD3F94"/>
    <w:rsid w:val="00AD4A5A"/>
    <w:rsid w:val="00AD5C2D"/>
    <w:rsid w:val="00AD6841"/>
    <w:rsid w:val="00AD68A4"/>
    <w:rsid w:val="00AE09E2"/>
    <w:rsid w:val="00AE15DE"/>
    <w:rsid w:val="00AE1A7F"/>
    <w:rsid w:val="00AE273C"/>
    <w:rsid w:val="00AE27AC"/>
    <w:rsid w:val="00AE2A74"/>
    <w:rsid w:val="00AE40E0"/>
    <w:rsid w:val="00AE4DBA"/>
    <w:rsid w:val="00AE4F07"/>
    <w:rsid w:val="00AE6CEB"/>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B39"/>
    <w:rsid w:val="00B16E6A"/>
    <w:rsid w:val="00B17F5F"/>
    <w:rsid w:val="00B20256"/>
    <w:rsid w:val="00B2063A"/>
    <w:rsid w:val="00B20D09"/>
    <w:rsid w:val="00B21163"/>
    <w:rsid w:val="00B215F5"/>
    <w:rsid w:val="00B21A08"/>
    <w:rsid w:val="00B24832"/>
    <w:rsid w:val="00B24D8E"/>
    <w:rsid w:val="00B25246"/>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A0B"/>
    <w:rsid w:val="00B85DE5"/>
    <w:rsid w:val="00B90209"/>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5F1"/>
    <w:rsid w:val="00BC27D3"/>
    <w:rsid w:val="00BC3053"/>
    <w:rsid w:val="00BC4D2E"/>
    <w:rsid w:val="00BC621D"/>
    <w:rsid w:val="00BC7171"/>
    <w:rsid w:val="00BD3BBB"/>
    <w:rsid w:val="00BD4267"/>
    <w:rsid w:val="00BD42A1"/>
    <w:rsid w:val="00BD48AC"/>
    <w:rsid w:val="00BD4F2F"/>
    <w:rsid w:val="00BD51B3"/>
    <w:rsid w:val="00BD5340"/>
    <w:rsid w:val="00BD5F1A"/>
    <w:rsid w:val="00BD6323"/>
    <w:rsid w:val="00BD6541"/>
    <w:rsid w:val="00BE09B5"/>
    <w:rsid w:val="00BE1234"/>
    <w:rsid w:val="00BE2661"/>
    <w:rsid w:val="00BE2B02"/>
    <w:rsid w:val="00BE2C14"/>
    <w:rsid w:val="00BE2FA6"/>
    <w:rsid w:val="00BE333F"/>
    <w:rsid w:val="00BE4882"/>
    <w:rsid w:val="00BE52DC"/>
    <w:rsid w:val="00BE56F8"/>
    <w:rsid w:val="00BE5B3D"/>
    <w:rsid w:val="00BE7406"/>
    <w:rsid w:val="00BE7603"/>
    <w:rsid w:val="00BE7C24"/>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17E41"/>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659"/>
    <w:rsid w:val="00C72EF4"/>
    <w:rsid w:val="00C73787"/>
    <w:rsid w:val="00C75043"/>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0C63"/>
    <w:rsid w:val="00CC111F"/>
    <w:rsid w:val="00CC1532"/>
    <w:rsid w:val="00CC15AB"/>
    <w:rsid w:val="00CC1941"/>
    <w:rsid w:val="00CC2011"/>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006E"/>
    <w:rsid w:val="00D02D66"/>
    <w:rsid w:val="00D0349B"/>
    <w:rsid w:val="00D0420D"/>
    <w:rsid w:val="00D04660"/>
    <w:rsid w:val="00D05B93"/>
    <w:rsid w:val="00D05D38"/>
    <w:rsid w:val="00D0643A"/>
    <w:rsid w:val="00D10249"/>
    <w:rsid w:val="00D115C3"/>
    <w:rsid w:val="00D116F8"/>
    <w:rsid w:val="00D1189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1853"/>
    <w:rsid w:val="00D82347"/>
    <w:rsid w:val="00D823C6"/>
    <w:rsid w:val="00D83198"/>
    <w:rsid w:val="00D84D42"/>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64D4"/>
    <w:rsid w:val="00DC770B"/>
    <w:rsid w:val="00DD0FC1"/>
    <w:rsid w:val="00DD2F7D"/>
    <w:rsid w:val="00DD37B5"/>
    <w:rsid w:val="00DD4804"/>
    <w:rsid w:val="00DD51A0"/>
    <w:rsid w:val="00DD55E6"/>
    <w:rsid w:val="00DD6111"/>
    <w:rsid w:val="00DD6126"/>
    <w:rsid w:val="00DE13E1"/>
    <w:rsid w:val="00DE2336"/>
    <w:rsid w:val="00DE238B"/>
    <w:rsid w:val="00DE3518"/>
    <w:rsid w:val="00DE4DBD"/>
    <w:rsid w:val="00DE5608"/>
    <w:rsid w:val="00DE58D0"/>
    <w:rsid w:val="00DE654F"/>
    <w:rsid w:val="00DE67CA"/>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3896"/>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2472"/>
    <w:rsid w:val="00E24F2E"/>
    <w:rsid w:val="00E25710"/>
    <w:rsid w:val="00E25FB6"/>
    <w:rsid w:val="00E26138"/>
    <w:rsid w:val="00E26651"/>
    <w:rsid w:val="00E26889"/>
    <w:rsid w:val="00E30431"/>
    <w:rsid w:val="00E30B5A"/>
    <w:rsid w:val="00E3123D"/>
    <w:rsid w:val="00E31461"/>
    <w:rsid w:val="00E319E3"/>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6C42"/>
    <w:rsid w:val="00E77501"/>
    <w:rsid w:val="00E77ACF"/>
    <w:rsid w:val="00E80BA6"/>
    <w:rsid w:val="00E81047"/>
    <w:rsid w:val="00E8234C"/>
    <w:rsid w:val="00E828A6"/>
    <w:rsid w:val="00E83AA9"/>
    <w:rsid w:val="00E841EE"/>
    <w:rsid w:val="00E842A1"/>
    <w:rsid w:val="00E851D7"/>
    <w:rsid w:val="00E85928"/>
    <w:rsid w:val="00E85DE3"/>
    <w:rsid w:val="00E866AF"/>
    <w:rsid w:val="00E87822"/>
    <w:rsid w:val="00E90395"/>
    <w:rsid w:val="00E90E49"/>
    <w:rsid w:val="00E917F9"/>
    <w:rsid w:val="00E9291C"/>
    <w:rsid w:val="00E92C5B"/>
    <w:rsid w:val="00E93FFE"/>
    <w:rsid w:val="00E94C6F"/>
    <w:rsid w:val="00E94F8A"/>
    <w:rsid w:val="00E96786"/>
    <w:rsid w:val="00E96A62"/>
    <w:rsid w:val="00E972B4"/>
    <w:rsid w:val="00EA1AA1"/>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93F"/>
    <w:rsid w:val="00ED1A65"/>
    <w:rsid w:val="00ED34AA"/>
    <w:rsid w:val="00ED462C"/>
    <w:rsid w:val="00ED4692"/>
    <w:rsid w:val="00ED5775"/>
    <w:rsid w:val="00ED7CAA"/>
    <w:rsid w:val="00EE1B98"/>
    <w:rsid w:val="00EE38E5"/>
    <w:rsid w:val="00EE4808"/>
    <w:rsid w:val="00EF0D79"/>
    <w:rsid w:val="00EF1560"/>
    <w:rsid w:val="00EF15E0"/>
    <w:rsid w:val="00EF18FE"/>
    <w:rsid w:val="00EF2130"/>
    <w:rsid w:val="00EF39BE"/>
    <w:rsid w:val="00EF3E48"/>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C46"/>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485E"/>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085E"/>
    <w:rsid w:val="00F817CE"/>
    <w:rsid w:val="00F83CB2"/>
    <w:rsid w:val="00F8456C"/>
    <w:rsid w:val="00F849CA"/>
    <w:rsid w:val="00F859D8"/>
    <w:rsid w:val="00F8640D"/>
    <w:rsid w:val="00F868F5"/>
    <w:rsid w:val="00F87FC1"/>
    <w:rsid w:val="00F9056A"/>
    <w:rsid w:val="00F90F8D"/>
    <w:rsid w:val="00F91DAE"/>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1483"/>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03A36.2DF5E8C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08E77-75B8-49AA-8DA0-3F2C9766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TotalTime>
  <Pages>6</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9</cp:revision>
  <cp:lastPrinted>2014-09-11T08:12:00Z</cp:lastPrinted>
  <dcterms:created xsi:type="dcterms:W3CDTF">2015-01-27T12:46:00Z</dcterms:created>
  <dcterms:modified xsi:type="dcterms:W3CDTF">2015-01-29T07:50:00Z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