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CB" w:rsidRDefault="00D154CB" w:rsidP="00D154CB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r w:rsidR="00FE1A53">
        <w:rPr>
          <w:rFonts w:eastAsia="宋体" w:hint="eastAsia"/>
          <w:b/>
          <w:lang w:val="en-US" w:eastAsia="zh-CN"/>
        </w:rPr>
        <w:t>7</w:t>
      </w:r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 w:rsidR="00184119">
        <w:rPr>
          <w:rFonts w:eastAsia="宋体" w:cs="Arial" w:hint="eastAsia"/>
          <w:b/>
          <w:lang w:val="en-US" w:eastAsia="zh-CN"/>
        </w:rPr>
        <w:t>4</w:t>
      </w:r>
      <w:r w:rsidR="00581AA1">
        <w:rPr>
          <w:rFonts w:eastAsia="宋体" w:cs="Arial" w:hint="eastAsia"/>
          <w:b/>
          <w:lang w:val="en-US" w:eastAsia="zh-CN"/>
        </w:rPr>
        <w:t>2365</w:t>
      </w:r>
    </w:p>
    <w:p w:rsidR="00D154CB" w:rsidRDefault="00FE1A53" w:rsidP="00D154CB">
      <w:pPr>
        <w:rPr>
          <w:rFonts w:ascii="Arial" w:hAnsi="Arial"/>
          <w:b/>
          <w:sz w:val="20"/>
          <w:lang w:val="it-IT"/>
        </w:rPr>
      </w:pPr>
      <w:r>
        <w:rPr>
          <w:rFonts w:ascii="Arial" w:hAnsi="Arial" w:hint="eastAsia"/>
          <w:b/>
          <w:sz w:val="20"/>
        </w:rPr>
        <w:t>Seoul</w:t>
      </w:r>
      <w:r w:rsidR="00B3329F">
        <w:rPr>
          <w:rFonts w:ascii="Arial" w:hAnsi="Arial" w:hint="eastAsia"/>
          <w:b/>
          <w:sz w:val="20"/>
        </w:rPr>
        <w:t xml:space="preserve">, </w:t>
      </w:r>
      <w:r>
        <w:rPr>
          <w:rFonts w:ascii="Arial" w:hAnsi="Arial" w:hint="eastAsia"/>
          <w:b/>
          <w:sz w:val="20"/>
        </w:rPr>
        <w:t>Korea</w:t>
      </w:r>
      <w:r w:rsidR="00D154CB">
        <w:rPr>
          <w:rFonts w:ascii="Arial" w:hAnsi="Arial"/>
          <w:b/>
          <w:sz w:val="20"/>
          <w:lang w:val="it-IT"/>
        </w:rPr>
        <w:t xml:space="preserve">, </w:t>
      </w:r>
      <w:r>
        <w:rPr>
          <w:rFonts w:ascii="Arial" w:hAnsi="Arial" w:hint="eastAsia"/>
          <w:b/>
          <w:sz w:val="20"/>
        </w:rPr>
        <w:t>May</w:t>
      </w:r>
      <w:r w:rsidR="00D154CB">
        <w:rPr>
          <w:rFonts w:ascii="Arial" w:hAnsi="Arial" w:hint="eastAsia"/>
          <w:b/>
          <w:sz w:val="20"/>
          <w:lang w:val="it-IT"/>
        </w:rPr>
        <w:t xml:space="preserve">. </w:t>
      </w:r>
      <w:r>
        <w:rPr>
          <w:rFonts w:ascii="Arial" w:hAnsi="Arial" w:hint="eastAsia"/>
          <w:b/>
          <w:sz w:val="20"/>
        </w:rPr>
        <w:t>19</w:t>
      </w:r>
      <w:r w:rsidR="00D154CB">
        <w:rPr>
          <w:rFonts w:ascii="Arial" w:hAnsi="Arial" w:hint="eastAsia"/>
          <w:b/>
          <w:sz w:val="20"/>
        </w:rPr>
        <w:t xml:space="preserve"> </w:t>
      </w:r>
      <w:r w:rsidR="00D154CB">
        <w:rPr>
          <w:rFonts w:ascii="Arial" w:hAnsi="Arial" w:hint="eastAsia"/>
          <w:b/>
          <w:sz w:val="20"/>
          <w:lang w:val="it-IT"/>
        </w:rPr>
        <w:t>-</w:t>
      </w:r>
      <w:r>
        <w:rPr>
          <w:rFonts w:ascii="Arial" w:hAnsi="Arial" w:hint="eastAsia"/>
          <w:b/>
          <w:sz w:val="20"/>
        </w:rPr>
        <w:t xml:space="preserve"> May. 23</w:t>
      </w:r>
      <w:r w:rsidR="00D154CB">
        <w:rPr>
          <w:rFonts w:ascii="Arial" w:hAnsi="Arial"/>
          <w:b/>
          <w:sz w:val="20"/>
          <w:lang w:val="it-IT"/>
        </w:rPr>
        <w:t>, 20</w:t>
      </w:r>
      <w:r w:rsidR="00D154CB">
        <w:rPr>
          <w:rFonts w:ascii="Arial" w:hAnsi="Arial" w:hint="eastAsia"/>
          <w:b/>
          <w:sz w:val="20"/>
          <w:lang w:val="it-IT"/>
        </w:rPr>
        <w:t>1</w:t>
      </w:r>
      <w:r w:rsidR="003F5607">
        <w:rPr>
          <w:rFonts w:ascii="Arial" w:hAnsi="Arial" w:hint="eastAsia"/>
          <w:b/>
          <w:sz w:val="20"/>
        </w:rPr>
        <w:t>4</w:t>
      </w:r>
    </w:p>
    <w:p w:rsidR="00D154CB" w:rsidRDefault="00D154CB" w:rsidP="00D154CB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</w:t>
      </w:r>
      <w:r w:rsidR="00E77925">
        <w:rPr>
          <w:rFonts w:ascii="Arial" w:hAnsi="Arial" w:cs="Arial" w:hint="eastAsia"/>
          <w:b/>
          <w:sz w:val="20"/>
        </w:rPr>
        <w:t>Discussions on 256QAM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 w:rsidR="00FE1A53">
        <w:rPr>
          <w:rFonts w:ascii="Arial" w:hAnsi="Arial" w:cs="Arial" w:hint="eastAsia"/>
          <w:b/>
          <w:sz w:val="20"/>
        </w:rPr>
        <w:t xml:space="preserve"> 6.2.3.</w:t>
      </w:r>
      <w:r w:rsidR="00E77925">
        <w:rPr>
          <w:rFonts w:ascii="Arial" w:hAnsi="Arial" w:cs="Arial" w:hint="eastAsia"/>
          <w:b/>
          <w:sz w:val="20"/>
        </w:rPr>
        <w:t>1</w:t>
      </w:r>
    </w:p>
    <w:p w:rsidR="00D154CB" w:rsidRDefault="00D154CB" w:rsidP="00D154CB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Default="008839FC" w:rsidP="008839F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4822D3">
        <w:rPr>
          <w:rFonts w:ascii="Times New Roman" w:hAnsi="Times New Roman" w:hint="eastAsia"/>
          <w:sz w:val="20"/>
          <w:szCs w:val="20"/>
        </w:rPr>
        <w:t xml:space="preserve"> 1#76bis</w:t>
      </w:r>
      <w:r w:rsidR="00905264">
        <w:rPr>
          <w:rFonts w:ascii="Times New Roman" w:hAnsi="Times New Roman"/>
          <w:sz w:val="20"/>
          <w:szCs w:val="20"/>
        </w:rPr>
        <w:t>, the</w:t>
      </w:r>
      <w:r w:rsidR="004822D3">
        <w:rPr>
          <w:rFonts w:ascii="Times New Roman" w:hAnsi="Times New Roman" w:hint="eastAsia"/>
          <w:sz w:val="20"/>
          <w:szCs w:val="20"/>
        </w:rPr>
        <w:t xml:space="preserve"> following </w:t>
      </w:r>
      <w:r w:rsidR="003936DD">
        <w:rPr>
          <w:rFonts w:ascii="Times New Roman" w:hAnsi="Times New Roman" w:hint="eastAsia"/>
          <w:sz w:val="20"/>
          <w:szCs w:val="20"/>
        </w:rPr>
        <w:t>agreement</w:t>
      </w:r>
      <w:r w:rsidR="00C26443">
        <w:rPr>
          <w:rFonts w:ascii="Times New Roman" w:hAnsi="Times New Roman" w:hint="eastAsia"/>
          <w:sz w:val="20"/>
          <w:szCs w:val="20"/>
        </w:rPr>
        <w:t>s</w:t>
      </w:r>
      <w:r w:rsidR="004822D3">
        <w:rPr>
          <w:rFonts w:ascii="Times New Roman" w:hAnsi="Times New Roman" w:hint="eastAsia"/>
          <w:sz w:val="20"/>
          <w:szCs w:val="20"/>
        </w:rPr>
        <w:t xml:space="preserve"> are achieved</w:t>
      </w:r>
      <w:r w:rsidR="00457C47">
        <w:rPr>
          <w:rFonts w:ascii="Times New Roman" w:hAnsi="Times New Roman" w:hint="eastAsia"/>
          <w:sz w:val="20"/>
          <w:szCs w:val="20"/>
        </w:rPr>
        <w:t xml:space="preserve"> for</w:t>
      </w:r>
      <w:r w:rsidR="00A1159C">
        <w:rPr>
          <w:rFonts w:ascii="Times New Roman" w:hAnsi="Times New Roman" w:hint="eastAsia"/>
          <w:sz w:val="20"/>
          <w:szCs w:val="20"/>
        </w:rPr>
        <w:t xml:space="preserve"> higer order modulation</w:t>
      </w:r>
      <w:r w:rsidR="00C26443">
        <w:rPr>
          <w:rFonts w:ascii="Times New Roman" w:hAnsi="Times New Roman" w:hint="eastAsia"/>
          <w:sz w:val="20"/>
          <w:szCs w:val="20"/>
        </w:rPr>
        <w:t xml:space="preserve"> </w:t>
      </w:r>
      <w:r w:rsidR="005E0470">
        <w:rPr>
          <w:rFonts w:ascii="Times New Roman" w:hAnsi="Times New Roman" w:hint="eastAsia"/>
          <w:sz w:val="20"/>
          <w:szCs w:val="20"/>
        </w:rPr>
        <w:t>[1]</w:t>
      </w:r>
      <w:r w:rsidRPr="008839FC">
        <w:rPr>
          <w:rFonts w:ascii="Times New Roman" w:hAnsi="Times New Roman" w:hint="eastAsia"/>
          <w:sz w:val="20"/>
          <w:szCs w:val="20"/>
        </w:rPr>
        <w:t>:</w:t>
      </w:r>
    </w:p>
    <w:p w:rsidR="00807727" w:rsidRPr="00807727" w:rsidRDefault="00807727" w:rsidP="00807727">
      <w:pPr>
        <w:widowControl/>
        <w:numPr>
          <w:ilvl w:val="0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Switching point of 64QAM and 256QAM should be CQI 15 in the existing table</w:t>
      </w:r>
    </w:p>
    <w:p w:rsidR="00807727" w:rsidRPr="00807727" w:rsidRDefault="00807727" w:rsidP="00807727">
      <w:pPr>
        <w:widowControl/>
        <w:numPr>
          <w:ilvl w:val="1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The modulation order of existing CQI 15 is changed to 256QAM</w:t>
      </w:r>
    </w:p>
    <w:p w:rsidR="00807727" w:rsidRPr="00807727" w:rsidRDefault="00807727" w:rsidP="00807727">
      <w:pPr>
        <w:widowControl/>
        <w:numPr>
          <w:ilvl w:val="0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6A7847">
        <w:rPr>
          <w:rFonts w:ascii="Times New Roman" w:eastAsia="MS Mincho" w:hAnsi="Times New Roman"/>
          <w:iCs/>
          <w:sz w:val="20"/>
          <w:szCs w:val="20"/>
          <w:lang w:eastAsia="ja-JP"/>
        </w:rPr>
        <w:t>Working assumption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: down-sample low CQI entries by removing 3 QPSK entries, and add 3 new entries for 256QAM region</w:t>
      </w:r>
    </w:p>
    <w:p w:rsidR="00807727" w:rsidRPr="00807727" w:rsidRDefault="00807727" w:rsidP="00807727">
      <w:pPr>
        <w:widowControl/>
        <w:numPr>
          <w:ilvl w:val="1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Revisit if problems if significant issues are found</w:t>
      </w:r>
    </w:p>
    <w:p w:rsidR="00807727" w:rsidRPr="00807727" w:rsidRDefault="00807727" w:rsidP="00807727">
      <w:pPr>
        <w:widowControl/>
        <w:numPr>
          <w:ilvl w:val="1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The 3 entries to be removed are either {#1, #3, #5} or {#2, #4, #6} </w:t>
      </w:r>
    </w:p>
    <w:p w:rsidR="00807727" w:rsidRPr="00807727" w:rsidRDefault="00807727" w:rsidP="00807727">
      <w:pPr>
        <w:widowControl/>
        <w:numPr>
          <w:ilvl w:val="1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The last 4 entries will be for 256QAM, but the actual SE is FFS</w:t>
      </w:r>
    </w:p>
    <w:p w:rsidR="00807727" w:rsidRPr="00807727" w:rsidRDefault="00807727" w:rsidP="00807727">
      <w:pPr>
        <w:widowControl/>
        <w:numPr>
          <w:ilvl w:val="0"/>
          <w:numId w:val="18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Order the CQI indices in the Rel-12 CQI table according to the spectral efficiencies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256QAM is supported for up to 8-layer PDSCH transmissions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TBS table</w:t>
      </w:r>
    </w:p>
    <w:p w:rsidR="00807727" w:rsidRPr="00807727" w:rsidRDefault="00807727" w:rsidP="00807727">
      <w:pPr>
        <w:widowControl/>
        <w:numPr>
          <w:ilvl w:val="1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Define overhead assumption(s) (REs/PRB) for PDSCH </w:t>
      </w:r>
    </w:p>
    <w:p w:rsidR="00807727" w:rsidRPr="00807727" w:rsidRDefault="00807727" w:rsidP="00807727">
      <w:pPr>
        <w:widowControl/>
        <w:numPr>
          <w:ilvl w:val="2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Use 120 REs per PRB for all 256QAM spectral efficiencies except for the highest spectral efficiency</w:t>
      </w:r>
    </w:p>
    <w:p w:rsidR="00807727" w:rsidRPr="00807727" w:rsidRDefault="00807727" w:rsidP="00807727">
      <w:pPr>
        <w:widowControl/>
        <w:numPr>
          <w:ilvl w:val="2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Use 136 REs per PRB for the highest spectral efficiency</w:t>
      </w:r>
    </w:p>
    <w:p w:rsidR="00807727" w:rsidRPr="00807727" w:rsidRDefault="00807727" w:rsidP="00807727">
      <w:pPr>
        <w:widowControl/>
        <w:numPr>
          <w:ilvl w:val="1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Limit the number of new TBS values as much as possible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DCI format 1A and DCI format 1C are associated with the legacy MCS table, i.e., not supporting 256QAM PDSCH scheduling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For all other DCI formats scheduling PDSCH, 256QAM can be supported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256QAM PDSCH scheduling is only supported for C-RNTI based PDSCH transmissions</w:t>
      </w:r>
    </w:p>
    <w:p w:rsidR="00807727" w:rsidRPr="00807727" w:rsidRDefault="00807727" w:rsidP="00807727">
      <w:pPr>
        <w:widowControl/>
        <w:numPr>
          <w:ilvl w:val="0"/>
          <w:numId w:val="19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FFS whether or not 256QAM is supported for PMCH transmissions</w:t>
      </w:r>
    </w:p>
    <w:p w:rsidR="00807727" w:rsidRPr="00807727" w:rsidRDefault="00807727" w:rsidP="00807727">
      <w:pPr>
        <w:widowControl/>
        <w:numPr>
          <w:ilvl w:val="0"/>
          <w:numId w:val="20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MCS Table</w:t>
      </w:r>
    </w:p>
    <w:p w:rsidR="00807727" w:rsidRPr="00807727" w:rsidRDefault="00807727" w:rsidP="00807727">
      <w:pPr>
        <w:widowControl/>
        <w:numPr>
          <w:ilvl w:val="1"/>
          <w:numId w:val="20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7 explicit MCS entries for 256QAM</w:t>
      </w:r>
    </w:p>
    <w:p w:rsidR="00807727" w:rsidRPr="00807727" w:rsidRDefault="00807727" w:rsidP="00807727">
      <w:pPr>
        <w:widowControl/>
        <w:numPr>
          <w:ilvl w:val="1"/>
          <w:numId w:val="20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As a </w:t>
      </w:r>
      <w:r w:rsidRPr="006A7847">
        <w:rPr>
          <w:rFonts w:ascii="Times New Roman" w:eastAsia="MS Mincho" w:hAnsi="Times New Roman"/>
          <w:iCs/>
          <w:sz w:val="20"/>
          <w:szCs w:val="20"/>
          <w:lang w:eastAsia="ja-JP"/>
        </w:rPr>
        <w:t>working assumption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, the # of implicit entries is 4 (for QPSK, 16/64/256QAM re-transmissions)</w:t>
      </w:r>
    </w:p>
    <w:p w:rsidR="00807727" w:rsidRPr="005D6C1F" w:rsidRDefault="00807727" w:rsidP="00807727">
      <w:pPr>
        <w:widowControl/>
        <w:numPr>
          <w:ilvl w:val="2"/>
          <w:numId w:val="20"/>
        </w:numPr>
        <w:jc w:val="left"/>
        <w:rPr>
          <w:rFonts w:eastAsia="MS Mincho"/>
          <w:iCs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Revisit if significant issues are found</w:t>
      </w:r>
    </w:p>
    <w:p w:rsidR="00807727" w:rsidRPr="00807727" w:rsidRDefault="00807727" w:rsidP="007D2F43">
      <w:pPr>
        <w:rPr>
          <w:rFonts w:ascii="Times New Roman" w:eastAsiaTheme="minorEastAsia" w:hAnsi="Times New Roman"/>
          <w:sz w:val="20"/>
          <w:szCs w:val="20"/>
        </w:rPr>
      </w:pP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07727">
        <w:rPr>
          <w:rFonts w:ascii="Times New Roman" w:hAnsi="Times New Roman" w:hint="eastAsia"/>
          <w:sz w:val="20"/>
          <w:szCs w:val="20"/>
        </w:rPr>
        <w:t>discussions</w:t>
      </w:r>
      <w:r w:rsidR="00C26443">
        <w:rPr>
          <w:rFonts w:ascii="Times New Roman" w:hAnsi="Times New Roman" w:hint="eastAsia"/>
          <w:sz w:val="20"/>
          <w:szCs w:val="20"/>
        </w:rPr>
        <w:t xml:space="preserve"> </w:t>
      </w:r>
      <w:r w:rsidR="0019191B">
        <w:rPr>
          <w:rFonts w:ascii="Times New Roman" w:hAnsi="Times New Roman" w:hint="eastAsia"/>
          <w:sz w:val="20"/>
          <w:szCs w:val="20"/>
        </w:rPr>
        <w:t xml:space="preserve">on </w:t>
      </w:r>
      <w:r w:rsidR="00807727">
        <w:rPr>
          <w:rFonts w:ascii="Times New Roman" w:hAnsi="Times New Roman" w:hint="eastAsia"/>
          <w:sz w:val="20"/>
          <w:szCs w:val="20"/>
        </w:rPr>
        <w:t>256QAM</w:t>
      </w:r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647563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</w:t>
      </w:r>
      <w:r w:rsidR="0019191B">
        <w:rPr>
          <w:rFonts w:eastAsia="宋体" w:hint="eastAsia"/>
          <w:lang w:val="en-US" w:eastAsia="zh-CN"/>
        </w:rPr>
        <w:t xml:space="preserve">on </w:t>
      </w:r>
      <w:r w:rsidR="00807727">
        <w:rPr>
          <w:rFonts w:eastAsia="宋体" w:hint="eastAsia"/>
          <w:lang w:val="en-US" w:eastAsia="zh-CN"/>
        </w:rPr>
        <w:t>256QAM</w:t>
      </w:r>
    </w:p>
    <w:p w:rsidR="00AB5317" w:rsidRPr="00E45909" w:rsidRDefault="00AB5317" w:rsidP="00E45909">
      <w:pPr>
        <w:pStyle w:val="2"/>
        <w:rPr>
          <w:rFonts w:ascii="Arial Unicode MS" w:eastAsia="Arial Unicode MS" w:hAnsi="Arial Unicode MS" w:cs="Arial Unicode MS"/>
          <w:sz w:val="28"/>
        </w:rPr>
      </w:pPr>
      <w:r w:rsidRPr="00E45909">
        <w:rPr>
          <w:rFonts w:ascii="Arial" w:eastAsia="宋体" w:hAnsi="Arial" w:cs="Times New Roman"/>
          <w:b w:val="0"/>
          <w:kern w:val="28"/>
          <w:sz w:val="28"/>
          <w:szCs w:val="24"/>
        </w:rPr>
        <w:t>2.1 CQI entries</w:t>
      </w:r>
    </w:p>
    <w:p w:rsidR="00AB5317" w:rsidRDefault="00AB5317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 xml:space="preserve">According to the </w:t>
      </w:r>
      <w:r>
        <w:rPr>
          <w:rFonts w:ascii="Times New Roman" w:eastAsiaTheme="minorEastAsia" w:hAnsi="Times New Roman" w:hint="eastAsia"/>
          <w:sz w:val="20"/>
          <w:szCs w:val="20"/>
        </w:rPr>
        <w:t>working assumption</w:t>
      </w:r>
      <w:r>
        <w:rPr>
          <w:rFonts w:ascii="Times New Roman" w:eastAsiaTheme="minorEastAsia" w:hAnsi="Times New Roman"/>
          <w:sz w:val="20"/>
          <w:szCs w:val="20"/>
        </w:rPr>
        <w:t xml:space="preserve">, 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down-sample low CQI entries by removing 3 QPSK entries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 and t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he 3 entries to 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lastRenderedPageBreak/>
        <w:t xml:space="preserve">be removed </w:t>
      </w:r>
      <w:r w:rsidR="00905264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are {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#1, #3, </w:t>
      </w:r>
      <w:r w:rsidR="00905264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and #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5} or {#2, #4, #6}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. System level simulations for scenario </w:t>
      </w:r>
      <w:r w:rsidR="008E5CF2">
        <w:rPr>
          <w:rFonts w:ascii="Times New Roman" w:eastAsiaTheme="minorEastAsia" w:hAnsi="Times New Roman" w:hint="eastAsia"/>
          <w:iCs/>
          <w:sz w:val="20"/>
          <w:szCs w:val="20"/>
        </w:rPr>
        <w:t>#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>2</w:t>
      </w:r>
      <w:r w:rsidR="008E5CF2">
        <w:rPr>
          <w:rFonts w:ascii="Times New Roman" w:eastAsiaTheme="minorEastAsia" w:hAnsi="Times New Roman" w:hint="eastAsia"/>
          <w:iCs/>
          <w:sz w:val="20"/>
          <w:szCs w:val="20"/>
        </w:rPr>
        <w:t>a</w:t>
      </w:r>
      <w:r w:rsidR="00C7458D">
        <w:rPr>
          <w:rFonts w:ascii="Times New Roman" w:eastAsiaTheme="minorEastAsia" w:hAnsi="Times New Roman" w:hint="eastAsia"/>
          <w:iCs/>
          <w:sz w:val="20"/>
          <w:szCs w:val="20"/>
        </w:rPr>
        <w:t xml:space="preserve"> and #3 are provided in table 1, where the</w:t>
      </w:r>
      <w:r w:rsidR="00EF124B">
        <w:rPr>
          <w:rFonts w:ascii="Times New Roman" w:eastAsiaTheme="minorEastAsia" w:hAnsi="Times New Roman" w:hint="eastAsia"/>
          <w:iCs/>
          <w:sz w:val="20"/>
          <w:szCs w:val="20"/>
        </w:rPr>
        <w:t xml:space="preserve"> CQI and MCS table for 256QAM </w:t>
      </w:r>
      <w:r w:rsidR="00C7458D">
        <w:rPr>
          <w:rFonts w:ascii="Times New Roman" w:eastAsiaTheme="minorEastAsia" w:hAnsi="Times New Roman" w:hint="eastAsia"/>
          <w:iCs/>
          <w:sz w:val="20"/>
          <w:szCs w:val="20"/>
        </w:rPr>
        <w:t>are</w:t>
      </w:r>
      <w:r w:rsidR="00EF124B">
        <w:rPr>
          <w:rFonts w:ascii="Times New Roman" w:eastAsiaTheme="minorEastAsia" w:hAnsi="Times New Roman" w:hint="eastAsia"/>
          <w:iCs/>
          <w:sz w:val="20"/>
          <w:szCs w:val="20"/>
        </w:rPr>
        <w:t xml:space="preserve"> the same as [2].</w:t>
      </w:r>
      <w:r w:rsidR="008E5CF2"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 w:rsidR="00EF124B">
        <w:rPr>
          <w:rFonts w:ascii="Times New Roman" w:eastAsiaTheme="minorEastAsia" w:hAnsi="Times New Roman" w:hint="eastAsia"/>
          <w:iCs/>
          <w:sz w:val="20"/>
          <w:szCs w:val="20"/>
        </w:rPr>
        <w:t xml:space="preserve">We can see the performance of </w:t>
      </w:r>
      <w:r w:rsidR="00905264">
        <w:rPr>
          <w:rFonts w:ascii="Times New Roman" w:eastAsiaTheme="minorEastAsia" w:hAnsi="Times New Roman"/>
          <w:iCs/>
          <w:sz w:val="20"/>
          <w:szCs w:val="20"/>
        </w:rPr>
        <w:t>removed {</w:t>
      </w:r>
      <w:r w:rsidR="00EF124B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#1, #3, #5} or {#2, #4, #6}</w:t>
      </w:r>
      <w:r w:rsidR="00F20A5B">
        <w:rPr>
          <w:rFonts w:ascii="Times New Roman" w:eastAsiaTheme="minorEastAsia" w:hAnsi="Times New Roman" w:hint="eastAsia"/>
          <w:iCs/>
          <w:sz w:val="20"/>
          <w:szCs w:val="20"/>
        </w:rPr>
        <w:t xml:space="preserve"> for 95% or 50% users</w:t>
      </w:r>
      <w:r w:rsidR="00EF124B">
        <w:rPr>
          <w:rFonts w:ascii="Times New Roman" w:eastAsiaTheme="minorEastAsia" w:hAnsi="Times New Roman" w:hint="eastAsia"/>
          <w:iCs/>
          <w:sz w:val="20"/>
          <w:szCs w:val="20"/>
        </w:rPr>
        <w:t xml:space="preserve"> are quite near. </w:t>
      </w:r>
      <w:r w:rsidR="00F20A5B">
        <w:rPr>
          <w:rFonts w:ascii="Times New Roman" w:eastAsiaTheme="minorEastAsia" w:hAnsi="Times New Roman" w:hint="eastAsia"/>
          <w:iCs/>
          <w:sz w:val="20"/>
          <w:szCs w:val="20"/>
        </w:rPr>
        <w:t>However, for the cell edge users, removing</w:t>
      </w:r>
      <w:r w:rsidR="00F20A5B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{#2, #4, </w:t>
      </w:r>
      <w:r w:rsidR="00905264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#</w:t>
      </w:r>
      <w:r w:rsidR="00F20A5B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6}</w:t>
      </w:r>
      <w:r w:rsidR="00F20A5B">
        <w:rPr>
          <w:rFonts w:ascii="Times New Roman" w:eastAsiaTheme="minorEastAsia" w:hAnsi="Times New Roman" w:hint="eastAsia"/>
          <w:iCs/>
          <w:sz w:val="20"/>
          <w:szCs w:val="20"/>
        </w:rPr>
        <w:t xml:space="preserve"> </w:t>
      </w:r>
      <w:r w:rsidR="006131A5">
        <w:rPr>
          <w:rFonts w:ascii="Times New Roman" w:eastAsiaTheme="minorEastAsia" w:hAnsi="Times New Roman" w:hint="eastAsia"/>
          <w:iCs/>
          <w:sz w:val="20"/>
          <w:szCs w:val="20"/>
        </w:rPr>
        <w:t>can provide better performance</w:t>
      </w:r>
      <w:r w:rsidR="006A7847">
        <w:rPr>
          <w:rFonts w:ascii="Times New Roman" w:eastAsiaTheme="minorEastAsia" w:hAnsi="Times New Roman" w:hint="eastAsia"/>
          <w:iCs/>
          <w:sz w:val="20"/>
          <w:szCs w:val="20"/>
        </w:rPr>
        <w:t xml:space="preserve"> in Scenario#2a</w:t>
      </w:r>
      <w:r w:rsidR="006131A5">
        <w:rPr>
          <w:rFonts w:ascii="Times New Roman" w:eastAsiaTheme="minorEastAsia" w:hAnsi="Times New Roman" w:hint="eastAsia"/>
          <w:iCs/>
          <w:sz w:val="20"/>
          <w:szCs w:val="20"/>
        </w:rPr>
        <w:t xml:space="preserve">. </w:t>
      </w:r>
      <w:r w:rsidR="006131A5">
        <w:rPr>
          <w:rFonts w:ascii="Times New Roman" w:eastAsiaTheme="minorEastAsia" w:hAnsi="Times New Roman"/>
          <w:iCs/>
          <w:sz w:val="20"/>
          <w:szCs w:val="20"/>
        </w:rPr>
        <w:t>T</w:t>
      </w:r>
      <w:r w:rsidR="006131A5">
        <w:rPr>
          <w:rFonts w:ascii="Times New Roman" w:eastAsiaTheme="minorEastAsia" w:hAnsi="Times New Roman" w:hint="eastAsia"/>
          <w:iCs/>
          <w:sz w:val="20"/>
          <w:szCs w:val="20"/>
        </w:rPr>
        <w:t>herefore</w:t>
      </w:r>
    </w:p>
    <w:p w:rsidR="006131A5" w:rsidRPr="00F20A5B" w:rsidRDefault="00F20A5B" w:rsidP="00F20A5B">
      <w:pPr>
        <w:autoSpaceDE w:val="0"/>
        <w:autoSpaceDN w:val="0"/>
        <w:adjustRightInd w:val="0"/>
        <w:spacing w:after="120"/>
        <w:jc w:val="center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 w:hint="eastAsia"/>
          <w:iCs/>
          <w:sz w:val="20"/>
          <w:szCs w:val="20"/>
        </w:rPr>
        <w:t>Table 1 performance of removing</w:t>
      </w: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{#1, #3, #5} or {#2, #4, #6}</w:t>
      </w:r>
    </w:p>
    <w:tbl>
      <w:tblPr>
        <w:tblStyle w:val="a8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C93FC6" w:rsidTr="00C93FC6">
        <w:tc>
          <w:tcPr>
            <w:tcW w:w="2463" w:type="dxa"/>
          </w:tcPr>
          <w:p w:rsidR="00C93FC6" w:rsidRDefault="00C93FC6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3" w:type="dxa"/>
          </w:tcPr>
          <w:p w:rsidR="00C93FC6" w:rsidRDefault="00C93FC6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4" w:type="dxa"/>
          </w:tcPr>
          <w:p w:rsidR="00C93FC6" w:rsidRDefault="00C93FC6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Scenario #2a(Mbps)</w:t>
            </w:r>
          </w:p>
        </w:tc>
        <w:tc>
          <w:tcPr>
            <w:tcW w:w="2464" w:type="dxa"/>
          </w:tcPr>
          <w:p w:rsidR="00C93FC6" w:rsidRDefault="00C93FC6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Scenario#3(Mbps)</w:t>
            </w:r>
          </w:p>
        </w:tc>
      </w:tr>
      <w:tr w:rsidR="00F20A5B" w:rsidTr="00C93FC6">
        <w:tc>
          <w:tcPr>
            <w:tcW w:w="2463" w:type="dxa"/>
            <w:vMerge w:val="restart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>R</w:t>
            </w: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 xml:space="preserve">emove </w:t>
            </w:r>
            <w:r w:rsidRPr="00807727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{#1, #3, #5}</w:t>
            </w: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5%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7.533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19.32</w:t>
            </w:r>
          </w:p>
        </w:tc>
      </w:tr>
      <w:tr w:rsidR="00F20A5B" w:rsidTr="00C93FC6">
        <w:tc>
          <w:tcPr>
            <w:tcW w:w="2463" w:type="dxa"/>
            <w:vMerge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50%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30.3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</w:t>
            </w:r>
          </w:p>
        </w:tc>
      </w:tr>
      <w:tr w:rsidR="00F20A5B" w:rsidTr="00C93FC6">
        <w:tc>
          <w:tcPr>
            <w:tcW w:w="2463" w:type="dxa"/>
            <w:vMerge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95%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30.89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30.93</w:t>
            </w:r>
          </w:p>
        </w:tc>
      </w:tr>
      <w:tr w:rsidR="00F20A5B" w:rsidTr="00C93FC6">
        <w:tc>
          <w:tcPr>
            <w:tcW w:w="2463" w:type="dxa"/>
            <w:vMerge w:val="restart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>R</w:t>
            </w: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 xml:space="preserve">emove </w:t>
            </w:r>
            <w:r w:rsidRPr="00807727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 xml:space="preserve"> {#2, #4, #6}</w:t>
            </w: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5%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11.54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18.72</w:t>
            </w:r>
          </w:p>
        </w:tc>
      </w:tr>
      <w:tr w:rsidR="00F20A5B" w:rsidTr="00C93FC6">
        <w:tc>
          <w:tcPr>
            <w:tcW w:w="2463" w:type="dxa"/>
            <w:vMerge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50%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29.85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30.3</w:t>
            </w:r>
          </w:p>
        </w:tc>
      </w:tr>
      <w:tr w:rsidR="00F20A5B" w:rsidTr="00C93FC6">
        <w:tc>
          <w:tcPr>
            <w:tcW w:w="2463" w:type="dxa"/>
            <w:vMerge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</w:p>
        </w:tc>
        <w:tc>
          <w:tcPr>
            <w:tcW w:w="2463" w:type="dxa"/>
          </w:tcPr>
          <w:p w:rsidR="00F20A5B" w:rsidRDefault="00F20A5B" w:rsidP="00D94D41">
            <w:pPr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95% user throughput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30.89</w:t>
            </w:r>
          </w:p>
        </w:tc>
        <w:tc>
          <w:tcPr>
            <w:tcW w:w="2464" w:type="dxa"/>
          </w:tcPr>
          <w:p w:rsidR="00F20A5B" w:rsidRPr="00F20A5B" w:rsidRDefault="00F20A5B" w:rsidP="00DD49FB">
            <w:pPr>
              <w:jc w:val="center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F20A5B">
              <w:rPr>
                <w:rFonts w:ascii="Times New Roman" w:eastAsiaTheme="minorEastAsia" w:hAnsi="Times New Roman" w:hint="eastAsia"/>
                <w:iCs/>
                <w:sz w:val="20"/>
                <w:szCs w:val="20"/>
              </w:rPr>
              <w:t>30.93</w:t>
            </w:r>
          </w:p>
        </w:tc>
      </w:tr>
    </w:tbl>
    <w:p w:rsidR="006131A5" w:rsidRDefault="006A7847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N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>ote: EVM is not considered and the</w:t>
      </w:r>
      <w:r w:rsidR="00905264">
        <w:rPr>
          <w:rFonts w:ascii="Times New Roman" w:eastAsiaTheme="minorEastAsia" w:hAnsi="Times New Roman" w:hint="eastAsia"/>
          <w:iCs/>
          <w:sz w:val="20"/>
          <w:szCs w:val="20"/>
        </w:rPr>
        <w:t xml:space="preserve"> number of</w:t>
      </w:r>
      <w:r>
        <w:rPr>
          <w:rFonts w:ascii="Times New Roman" w:eastAsiaTheme="minorEastAsia" w:hAnsi="Times New Roman" w:hint="eastAsia"/>
          <w:iCs/>
          <w:sz w:val="20"/>
          <w:szCs w:val="20"/>
        </w:rPr>
        <w:t xml:space="preserve"> small cells per cluster is 4.</w:t>
      </w:r>
    </w:p>
    <w:p w:rsidR="006131A5" w:rsidRPr="00E45909" w:rsidRDefault="006131A5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iCs/>
          <w:sz w:val="20"/>
          <w:szCs w:val="20"/>
        </w:rPr>
      </w:pP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Proposal 1: </w:t>
      </w:r>
      <w:r w:rsidRPr="00E45909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>down-sample low CQI entries by remov</w:t>
      </w: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ing</w:t>
      </w:r>
      <w:r w:rsidRPr="00E45909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 xml:space="preserve"> {#2, #4, #6}</w:t>
      </w: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.</w:t>
      </w:r>
    </w:p>
    <w:p w:rsidR="008E5CF2" w:rsidRPr="00E45909" w:rsidRDefault="006131A5" w:rsidP="00E45909">
      <w:pPr>
        <w:pStyle w:val="2"/>
        <w:rPr>
          <w:rFonts w:ascii="Arial" w:eastAsia="宋体" w:hAnsi="Arial" w:cs="Times New Roman"/>
          <w:b w:val="0"/>
          <w:kern w:val="28"/>
          <w:sz w:val="28"/>
          <w:szCs w:val="24"/>
        </w:rPr>
      </w:pPr>
      <w:r w:rsidRPr="00E4590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2.2 MCS selection</w:t>
      </w:r>
    </w:p>
    <w:p w:rsidR="00D307A6" w:rsidRDefault="00D307A6" w:rsidP="00D307A6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F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or MCS selection, </w:t>
      </w:r>
      <w:r>
        <w:rPr>
          <w:rFonts w:ascii="Times New Roman" w:hAnsi="Times New Roman" w:hint="eastAsia"/>
          <w:sz w:val="20"/>
          <w:szCs w:val="20"/>
        </w:rPr>
        <w:t xml:space="preserve">a down selection </w:t>
      </w:r>
      <w:r w:rsidR="0065656A">
        <w:rPr>
          <w:rFonts w:ascii="Times New Roman" w:hAnsi="Times New Roman" w:hint="eastAsia"/>
          <w:sz w:val="20"/>
          <w:szCs w:val="20"/>
        </w:rPr>
        <w:t>might</w:t>
      </w:r>
      <w:r>
        <w:rPr>
          <w:rFonts w:ascii="Times New Roman" w:hAnsi="Times New Roman" w:hint="eastAsia"/>
          <w:sz w:val="20"/>
          <w:szCs w:val="20"/>
        </w:rPr>
        <w:t xml:space="preserve"> be made between two </w:t>
      </w:r>
      <w:r w:rsidR="00905264">
        <w:rPr>
          <w:rFonts w:ascii="Times New Roman" w:hAnsi="Times New Roman"/>
          <w:sz w:val="20"/>
          <w:szCs w:val="20"/>
        </w:rPr>
        <w:t>alternatives</w:t>
      </w:r>
      <w:r w:rsidR="00905264">
        <w:rPr>
          <w:rFonts w:ascii="Times New Roman" w:hAnsi="Times New Roman" w:hint="eastAsia"/>
          <w:sz w:val="20"/>
          <w:szCs w:val="20"/>
        </w:rPr>
        <w:t xml:space="preserve"> </w:t>
      </w:r>
      <w:r w:rsidR="0065656A">
        <w:rPr>
          <w:rFonts w:ascii="Times New Roman" w:hAnsi="Times New Roman" w:hint="eastAsia"/>
          <w:sz w:val="20"/>
          <w:szCs w:val="20"/>
        </w:rPr>
        <w:t>[1]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D307A6" w:rsidRPr="00807727" w:rsidRDefault="00D307A6" w:rsidP="00D307A6">
      <w:pPr>
        <w:widowControl/>
        <w:numPr>
          <w:ilvl w:val="0"/>
          <w:numId w:val="20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Alt 1: For 256QAM Modulation and TBS index table keep the MCS indices the same for the entries, which are preserved from Rel-8 Modulation and TBS index table</w:t>
      </w:r>
    </w:p>
    <w:p w:rsidR="00D307A6" w:rsidRPr="00807727" w:rsidRDefault="00D307A6" w:rsidP="00D307A6">
      <w:pPr>
        <w:widowControl/>
        <w:numPr>
          <w:ilvl w:val="0"/>
          <w:numId w:val="20"/>
        </w:numPr>
        <w:jc w:val="left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Alt 2: For 256QAM Modulation and TBS index table, the MCS indices are ordered based on spectral efficiency</w:t>
      </w:r>
    </w:p>
    <w:p w:rsidR="006131A5" w:rsidRDefault="00E45909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The advantage </w:t>
      </w:r>
      <w:r w:rsidR="00905264">
        <w:rPr>
          <w:rFonts w:ascii="Times New Roman" w:eastAsiaTheme="minorEastAsia" w:hAnsi="Times New Roman"/>
          <w:sz w:val="20"/>
          <w:szCs w:val="20"/>
        </w:rPr>
        <w:t>of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alt.1 is that MCS table ambiguity </w:t>
      </w:r>
      <w:r w:rsidR="00905264">
        <w:rPr>
          <w:rFonts w:ascii="Times New Roman" w:eastAsiaTheme="minorEastAsia" w:hAnsi="Times New Roman"/>
          <w:sz w:val="20"/>
          <w:szCs w:val="20"/>
        </w:rPr>
        <w:t>doing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RRC reconfiguration could be avoided. Alt.2 is </w:t>
      </w:r>
      <w:r>
        <w:rPr>
          <w:rFonts w:ascii="Times New Roman" w:eastAsiaTheme="minorEastAsia" w:hAnsi="Times New Roman"/>
          <w:sz w:val="20"/>
          <w:szCs w:val="20"/>
        </w:rPr>
        <w:t>benefit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for the use of 256QAM from the perspective of MCS design consensus. </w:t>
      </w:r>
      <w:r w:rsidR="00F53772">
        <w:rPr>
          <w:rFonts w:ascii="Times New Roman" w:eastAsiaTheme="minorEastAsia" w:hAnsi="Times New Roman" w:hint="eastAsia"/>
          <w:sz w:val="20"/>
          <w:szCs w:val="20"/>
        </w:rPr>
        <w:t xml:space="preserve">Based on the agreements, </w:t>
      </w:r>
      <w:r w:rsidR="00F53772" w:rsidRPr="00807727">
        <w:rPr>
          <w:rFonts w:ascii="Times New Roman" w:eastAsia="MS Mincho" w:hAnsi="Times New Roman"/>
          <w:iCs/>
          <w:sz w:val="20"/>
          <w:szCs w:val="20"/>
          <w:lang w:eastAsia="ja-JP"/>
        </w:rPr>
        <w:t>DCI format 1A and DCI format 1C are associated with the legacy MCS table, i.e., not supporting 256QAM PDSCH scheduling</w:t>
      </w:r>
      <w:r w:rsidR="00F53772">
        <w:rPr>
          <w:rFonts w:ascii="Times New Roman" w:eastAsiaTheme="minorEastAsia" w:hAnsi="Times New Roman" w:hint="eastAsia"/>
          <w:iCs/>
          <w:sz w:val="20"/>
          <w:szCs w:val="20"/>
        </w:rPr>
        <w:t xml:space="preserve"> [1]. Since</w:t>
      </w:r>
      <w:r w:rsidR="00F71A1F">
        <w:rPr>
          <w:rFonts w:ascii="Times New Roman" w:eastAsiaTheme="minorEastAsia" w:hAnsi="Times New Roman" w:hint="eastAsia"/>
          <w:iCs/>
          <w:sz w:val="20"/>
          <w:szCs w:val="20"/>
        </w:rPr>
        <w:t xml:space="preserve"> RRC reconfiguration is carried by DCI format 1</w:t>
      </w:r>
      <w:r w:rsidR="00621307">
        <w:rPr>
          <w:rFonts w:ascii="Times New Roman" w:eastAsiaTheme="minorEastAsia" w:hAnsi="Times New Roman" w:hint="eastAsia"/>
          <w:iCs/>
          <w:sz w:val="20"/>
          <w:szCs w:val="20"/>
        </w:rPr>
        <w:t>A</w:t>
      </w:r>
      <w:r w:rsidR="00F71A1F">
        <w:rPr>
          <w:rFonts w:ascii="Times New Roman" w:eastAsiaTheme="minorEastAsia" w:hAnsi="Times New Roman" w:hint="eastAsia"/>
          <w:iCs/>
          <w:sz w:val="20"/>
          <w:szCs w:val="20"/>
        </w:rPr>
        <w:t>, no ambiguity problem will be raised</w:t>
      </w:r>
      <w:r w:rsidR="0065656A">
        <w:rPr>
          <w:rFonts w:ascii="Times New Roman" w:eastAsiaTheme="minorEastAsia" w:hAnsi="Times New Roman" w:hint="eastAsia"/>
          <w:iCs/>
          <w:sz w:val="20"/>
          <w:szCs w:val="20"/>
        </w:rPr>
        <w:t xml:space="preserve"> during the RRC reconfiguration</w:t>
      </w:r>
      <w:r w:rsidR="00F71A1F">
        <w:rPr>
          <w:rFonts w:ascii="Times New Roman" w:eastAsiaTheme="minorEastAsia" w:hAnsi="Times New Roman" w:hint="eastAsia"/>
          <w:iCs/>
          <w:sz w:val="20"/>
          <w:szCs w:val="20"/>
        </w:rPr>
        <w:t xml:space="preserve">, even we adopt alt.2. </w:t>
      </w:r>
    </w:p>
    <w:p w:rsidR="00F71A1F" w:rsidRPr="00F71A1F" w:rsidRDefault="00F71A1F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iCs/>
          <w:sz w:val="20"/>
          <w:szCs w:val="20"/>
        </w:rPr>
      </w:pPr>
      <w:r w:rsidRPr="00F71A1F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Proposal 2: </w:t>
      </w:r>
      <w:r w:rsidRPr="00F71A1F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>For 256QAM Modulation and TBS index table, the MCS indices are ordered based on spectral efficiency</w:t>
      </w:r>
      <w:r w:rsidRPr="00F71A1F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.</w:t>
      </w:r>
    </w:p>
    <w:p w:rsidR="00F71A1F" w:rsidRPr="00F71A1F" w:rsidRDefault="00F71A1F" w:rsidP="00F71A1F">
      <w:pPr>
        <w:pStyle w:val="2"/>
        <w:rPr>
          <w:rFonts w:ascii="Arial" w:eastAsia="宋体" w:hAnsi="Arial" w:cs="Times New Roman"/>
          <w:b w:val="0"/>
          <w:kern w:val="28"/>
          <w:sz w:val="28"/>
          <w:szCs w:val="24"/>
        </w:rPr>
      </w:pPr>
      <w:r w:rsidRPr="00F71A1F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2.3 UE Category/Capability</w:t>
      </w:r>
    </w:p>
    <w:p w:rsidR="00AB5317" w:rsidRDefault="009D3086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A WF about 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UE Category/Capability is </w:t>
      </w:r>
      <w:r>
        <w:rPr>
          <w:rFonts w:ascii="Times New Roman" w:eastAsiaTheme="minorEastAsia" w:hAnsi="Times New Roman" w:hint="eastAsia"/>
          <w:sz w:val="20"/>
          <w:szCs w:val="20"/>
        </w:rPr>
        <w:t>proposed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 in [3]. However, due to the limited online time, no consensus has been achieved. For the UE category to support 256QAM, </w:t>
      </w:r>
      <w:r w:rsidR="00DC156A">
        <w:rPr>
          <w:rFonts w:ascii="Times New Roman" w:eastAsiaTheme="minorEastAsia" w:hAnsi="Times New Roman" w:hint="eastAsia"/>
          <w:sz w:val="20"/>
          <w:szCs w:val="20"/>
        </w:rPr>
        <w:t xml:space="preserve">it 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is a </w:t>
      </w:r>
      <w:r w:rsidR="00905264">
        <w:rPr>
          <w:rFonts w:ascii="Times New Roman" w:eastAsiaTheme="minorEastAsia" w:hAnsi="Times New Roman"/>
          <w:sz w:val="20"/>
          <w:szCs w:val="20"/>
        </w:rPr>
        <w:t>reasonable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 choice</w:t>
      </w:r>
      <w:r w:rsidR="00942541">
        <w:rPr>
          <w:rFonts w:ascii="Times New Roman" w:eastAsiaTheme="minorEastAsia" w:hAnsi="Times New Roman" w:hint="eastAsia"/>
          <w:sz w:val="20"/>
          <w:szCs w:val="20"/>
        </w:rPr>
        <w:t xml:space="preserve"> to</w:t>
      </w:r>
      <w:r w:rsidR="00DC156A" w:rsidRPr="00DC156A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="00DC156A">
        <w:rPr>
          <w:rFonts w:ascii="Times New Roman" w:eastAsiaTheme="minorEastAsia" w:hAnsi="Times New Roman" w:hint="eastAsia"/>
          <w:sz w:val="20"/>
          <w:szCs w:val="20"/>
        </w:rPr>
        <w:t>start from Category 3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. </w:t>
      </w:r>
      <w:r w:rsidR="00D51442">
        <w:rPr>
          <w:rFonts w:ascii="Times New Roman" w:eastAsiaTheme="minorEastAsia" w:hAnsi="Times New Roman" w:hint="eastAsia"/>
          <w:sz w:val="20"/>
          <w:szCs w:val="20"/>
        </w:rPr>
        <w:t>The reason is that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 the most popular UE </w:t>
      </w:r>
      <w:r w:rsidR="00D51442">
        <w:rPr>
          <w:rFonts w:ascii="Times New Roman" w:eastAsiaTheme="minorEastAsia" w:hAnsi="Times New Roman" w:hint="eastAsia"/>
          <w:sz w:val="20"/>
          <w:szCs w:val="20"/>
        </w:rPr>
        <w:t xml:space="preserve">right now 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is Category 3 and introducing </w:t>
      </w:r>
      <w:r w:rsidR="00D51442">
        <w:rPr>
          <w:rFonts w:ascii="Times New Roman" w:eastAsiaTheme="minorEastAsia" w:hAnsi="Times New Roman" w:hint="eastAsia"/>
          <w:sz w:val="20"/>
          <w:szCs w:val="20"/>
        </w:rPr>
        <w:t>higher order modulation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 to Category 3 or above </w:t>
      </w:r>
      <w:r w:rsidR="00D51442">
        <w:rPr>
          <w:rFonts w:ascii="Times New Roman" w:eastAsiaTheme="minorEastAsia" w:hAnsi="Times New Roman" w:hint="eastAsia"/>
          <w:sz w:val="20"/>
          <w:szCs w:val="20"/>
        </w:rPr>
        <w:t>will</w:t>
      </w:r>
      <w:r w:rsidR="00A4451E">
        <w:rPr>
          <w:rFonts w:ascii="Times New Roman" w:eastAsiaTheme="minorEastAsia" w:hAnsi="Times New Roman" w:hint="eastAsia"/>
          <w:sz w:val="20"/>
          <w:szCs w:val="20"/>
        </w:rPr>
        <w:t xml:space="preserve"> maximize the </w:t>
      </w:r>
      <w:r w:rsidR="00A4451E">
        <w:rPr>
          <w:rFonts w:ascii="Times New Roman" w:eastAsiaTheme="minorEastAsia" w:hAnsi="Times New Roman"/>
          <w:sz w:val="20"/>
          <w:szCs w:val="20"/>
        </w:rPr>
        <w:t>benefit</w:t>
      </w:r>
      <w:r w:rsidR="00D51442">
        <w:rPr>
          <w:rFonts w:ascii="Times New Roman" w:eastAsiaTheme="minorEastAsia" w:hAnsi="Times New Roman" w:hint="eastAsia"/>
          <w:sz w:val="20"/>
          <w:szCs w:val="20"/>
        </w:rPr>
        <w:t xml:space="preserve"> of 256QAM. </w:t>
      </w:r>
    </w:p>
    <w:p w:rsidR="00F56AFB" w:rsidRPr="00D51442" w:rsidRDefault="00D51442" w:rsidP="00D51442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sz w:val="20"/>
          <w:szCs w:val="20"/>
        </w:rPr>
      </w:pP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>P</w:t>
      </w:r>
      <w:r w:rsidRPr="00D51442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roposal 3: </w:t>
      </w:r>
      <w:r w:rsidR="007F60FE" w:rsidRPr="00D51442">
        <w:rPr>
          <w:rFonts w:ascii="Times New Roman" w:eastAsiaTheme="minorEastAsia" w:hAnsi="Times New Roman"/>
          <w:b/>
          <w:i/>
          <w:sz w:val="20"/>
          <w:szCs w:val="20"/>
        </w:rPr>
        <w:t>256QAM is supported</w:t>
      </w:r>
      <w:r w:rsidRPr="00D51442">
        <w:rPr>
          <w:rFonts w:ascii="Times New Roman" w:eastAsiaTheme="minorEastAsia" w:hAnsi="Times New Roman"/>
          <w:b/>
          <w:i/>
          <w:sz w:val="20"/>
          <w:szCs w:val="20"/>
        </w:rPr>
        <w:t xml:space="preserve"> in existing UE categories 3-10</w:t>
      </w:r>
      <w:r w:rsidRPr="00D51442">
        <w:rPr>
          <w:rFonts w:ascii="Times New Roman" w:eastAsiaTheme="minorEastAsia" w:hAnsi="Times New Roman" w:hint="eastAsia"/>
          <w:b/>
          <w:i/>
          <w:sz w:val="20"/>
          <w:szCs w:val="20"/>
        </w:rPr>
        <w:t>.</w:t>
      </w:r>
    </w:p>
    <w:p w:rsidR="00D51442" w:rsidRPr="00D51442" w:rsidRDefault="004404F7" w:rsidP="00D94D41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 xml:space="preserve">256QAM will not only improve cell throughput in high SINR region but also </w:t>
      </w:r>
      <w:r w:rsidR="00230DDA">
        <w:rPr>
          <w:rFonts w:ascii="Times New Roman" w:eastAsiaTheme="minorEastAsia" w:hAnsi="Times New Roman" w:hint="eastAsia"/>
          <w:sz w:val="20"/>
          <w:szCs w:val="20"/>
        </w:rPr>
        <w:t>has the potential to increas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e the peak data </w:t>
      </w:r>
      <w:r>
        <w:rPr>
          <w:rFonts w:ascii="Times New Roman" w:eastAsiaTheme="minorEastAsia" w:hAnsi="Times New Roman" w:hint="eastAsia"/>
          <w:sz w:val="20"/>
          <w:szCs w:val="20"/>
        </w:rPr>
        <w:lastRenderedPageBreak/>
        <w:t xml:space="preserve">rate. </w:t>
      </w:r>
      <w:r w:rsidR="00463F8A">
        <w:rPr>
          <w:rFonts w:ascii="Times New Roman" w:eastAsiaTheme="minorEastAsia" w:hAnsi="Times New Roman"/>
          <w:sz w:val="20"/>
          <w:szCs w:val="20"/>
        </w:rPr>
        <w:t>According to</w:t>
      </w:r>
      <w:r w:rsidR="00463F8A">
        <w:rPr>
          <w:rFonts w:ascii="Times New Roman" w:eastAsiaTheme="minorEastAsia" w:hAnsi="Times New Roman" w:hint="eastAsia"/>
          <w:sz w:val="20"/>
          <w:szCs w:val="20"/>
        </w:rPr>
        <w:t xml:space="preserve"> current specification, up to 8 </w:t>
      </w:r>
      <w:r w:rsidR="00905264">
        <w:rPr>
          <w:rFonts w:ascii="Times New Roman" w:eastAsiaTheme="minorEastAsia" w:hAnsi="Times New Roman"/>
          <w:sz w:val="20"/>
          <w:szCs w:val="20"/>
        </w:rPr>
        <w:t>layers</w:t>
      </w:r>
      <w:r w:rsidR="00463F8A">
        <w:rPr>
          <w:rFonts w:ascii="Times New Roman" w:eastAsiaTheme="minorEastAsia" w:hAnsi="Times New Roman" w:hint="eastAsia"/>
          <w:sz w:val="20"/>
          <w:szCs w:val="20"/>
        </w:rPr>
        <w:t xml:space="preserve"> MIMO and 5CC could be support for one UE. Combining 256QAM, there will be up to about 4Gbps for peak data rate</w:t>
      </w:r>
      <w:r w:rsidR="00230DDA">
        <w:rPr>
          <w:rFonts w:ascii="Times New Roman" w:eastAsiaTheme="minorEastAsia" w:hAnsi="Times New Roman" w:hint="eastAsia"/>
          <w:sz w:val="20"/>
          <w:szCs w:val="20"/>
        </w:rPr>
        <w:t xml:space="preserve"> per UE</w:t>
      </w:r>
      <w:r w:rsidR="00463F8A">
        <w:rPr>
          <w:rFonts w:ascii="Times New Roman" w:eastAsiaTheme="minorEastAsia" w:hAnsi="Times New Roman" w:hint="eastAsia"/>
          <w:sz w:val="20"/>
          <w:szCs w:val="20"/>
        </w:rPr>
        <w:t xml:space="preserve">. Actually, in real wireless </w:t>
      </w:r>
      <w:r w:rsidR="00905264">
        <w:rPr>
          <w:rFonts w:ascii="Times New Roman" w:eastAsiaTheme="minorEastAsia" w:hAnsi="Times New Roman"/>
          <w:sz w:val="20"/>
          <w:szCs w:val="20"/>
        </w:rPr>
        <w:t>network</w:t>
      </w:r>
      <w:r w:rsidR="00463F8A">
        <w:rPr>
          <w:rFonts w:ascii="Times New Roman" w:eastAsiaTheme="minorEastAsia" w:hAnsi="Times New Roman" w:hint="eastAsia"/>
          <w:sz w:val="20"/>
          <w:szCs w:val="20"/>
        </w:rPr>
        <w:t xml:space="preserve">, such a high </w:t>
      </w:r>
      <w:r w:rsidR="00C93FC6">
        <w:rPr>
          <w:rFonts w:ascii="Times New Roman" w:eastAsiaTheme="minorEastAsia" w:hAnsi="Times New Roman" w:hint="eastAsia"/>
          <w:sz w:val="20"/>
          <w:szCs w:val="20"/>
        </w:rPr>
        <w:t xml:space="preserve">data rate is hard to be used. However, it is good for market promotion </w:t>
      </w:r>
      <w:r w:rsidR="00905264">
        <w:rPr>
          <w:rFonts w:ascii="Times New Roman" w:eastAsiaTheme="minorEastAsia" w:hAnsi="Times New Roman" w:hint="eastAsia"/>
          <w:sz w:val="20"/>
          <w:szCs w:val="20"/>
        </w:rPr>
        <w:t>to</w:t>
      </w:r>
      <w:r w:rsidR="00C93FC6">
        <w:rPr>
          <w:rFonts w:ascii="Times New Roman" w:eastAsiaTheme="minorEastAsia" w:hAnsi="Times New Roman" w:hint="eastAsia"/>
          <w:sz w:val="20"/>
          <w:szCs w:val="20"/>
        </w:rPr>
        <w:t xml:space="preserve"> define a new UE Category to support about 4Gbps peak data rate.</w:t>
      </w:r>
    </w:p>
    <w:p w:rsidR="00F56AFB" w:rsidRPr="00C93FC6" w:rsidRDefault="00C93FC6" w:rsidP="00C93FC6">
      <w:pPr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i/>
          <w:sz w:val="20"/>
          <w:szCs w:val="20"/>
        </w:rPr>
      </w:pPr>
      <w:r w:rsidRPr="00C93FC6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Proposal 4: introduce a new UE category supporting </w:t>
      </w:r>
      <w:r w:rsidR="007F60FE" w:rsidRPr="00C93FC6">
        <w:rPr>
          <w:rFonts w:ascii="Times New Roman" w:eastAsiaTheme="minorEastAsia" w:hAnsi="Times New Roman"/>
          <w:b/>
          <w:i/>
          <w:sz w:val="20"/>
          <w:szCs w:val="20"/>
        </w:rPr>
        <w:t>~4Gbps</w:t>
      </w:r>
      <w:r w:rsidRPr="00C93FC6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 peak data rate</w:t>
      </w:r>
      <w:r w:rsidR="007F60FE" w:rsidRPr="00C93FC6">
        <w:rPr>
          <w:rFonts w:ascii="Times New Roman" w:eastAsiaTheme="minorEastAsia" w:hAnsi="Times New Roman"/>
          <w:b/>
          <w:i/>
          <w:sz w:val="20"/>
          <w:szCs w:val="20"/>
        </w:rPr>
        <w:t xml:space="preserve"> targeting 5CC, 8 layer MIMO with 256QAM</w:t>
      </w:r>
    </w:p>
    <w:p w:rsidR="005B28F9" w:rsidRDefault="005B28F9" w:rsidP="005B28F9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</w:t>
      </w:r>
      <w:r w:rsidR="00A30EE0">
        <w:rPr>
          <w:rFonts w:ascii="Times New Roman" w:hAnsi="Times New Roman" w:hint="eastAsia"/>
          <w:sz w:val="20"/>
          <w:szCs w:val="20"/>
        </w:rPr>
        <w:t>give</w:t>
      </w:r>
      <w:r w:rsidR="00B059EB">
        <w:rPr>
          <w:rFonts w:ascii="Times New Roman" w:hAnsi="Times New Roman" w:hint="eastAsia"/>
          <w:sz w:val="20"/>
          <w:szCs w:val="20"/>
        </w:rPr>
        <w:t xml:space="preserve"> some discussions on 256QAM</w:t>
      </w:r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14C6A" w:rsidRPr="00114C6A" w:rsidRDefault="00B059EB" w:rsidP="00581AA1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 xml:space="preserve">Proposal 1: </w:t>
      </w:r>
      <w:r w:rsidRPr="00E45909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>down-sample low CQI entries by remov</w:t>
      </w: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ing</w:t>
      </w:r>
      <w:r w:rsidRPr="00E45909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 xml:space="preserve"> {#2, #4, #6}</w:t>
      </w:r>
      <w:r w:rsidRPr="00E45909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.</w:t>
      </w:r>
    </w:p>
    <w:p w:rsidR="00D154CB" w:rsidRPr="00114C6A" w:rsidRDefault="00F83624" w:rsidP="00581AA1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F82425">
        <w:rPr>
          <w:rFonts w:ascii="Times New Roman" w:hAnsi="Times New Roman" w:hint="eastAsia"/>
          <w:b/>
          <w:i/>
          <w:sz w:val="20"/>
          <w:szCs w:val="20"/>
        </w:rPr>
        <w:t xml:space="preserve">Proposal 2: </w:t>
      </w:r>
      <w:r w:rsidR="00B059EB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f</w:t>
      </w:r>
      <w:r w:rsidR="00B059EB" w:rsidRPr="00F71A1F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>or 256QAM Modulation and TBS index table, the MCS indices are ordered based on spectral efficiency</w:t>
      </w:r>
      <w:r w:rsidR="00B059EB" w:rsidRPr="00F71A1F">
        <w:rPr>
          <w:rFonts w:ascii="Times New Roman" w:eastAsiaTheme="minorEastAsia" w:hAnsi="Times New Roman" w:hint="eastAsia"/>
          <w:b/>
          <w:i/>
          <w:iCs/>
          <w:sz w:val="20"/>
          <w:szCs w:val="20"/>
        </w:rPr>
        <w:t>.</w:t>
      </w:r>
    </w:p>
    <w:p w:rsidR="0029641F" w:rsidRPr="00114C6A" w:rsidRDefault="00F83624" w:rsidP="00581AA1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F82425">
        <w:rPr>
          <w:rFonts w:ascii="Times New Roman" w:hAnsi="Times New Roman" w:hint="eastAsia"/>
          <w:b/>
          <w:i/>
          <w:sz w:val="20"/>
          <w:szCs w:val="20"/>
        </w:rPr>
        <w:t xml:space="preserve">Proposal 3: </w:t>
      </w:r>
      <w:r w:rsidR="00B059EB" w:rsidRPr="00D51442">
        <w:rPr>
          <w:rFonts w:ascii="Times New Roman" w:eastAsiaTheme="minorEastAsia" w:hAnsi="Times New Roman"/>
          <w:b/>
          <w:i/>
          <w:sz w:val="20"/>
          <w:szCs w:val="20"/>
        </w:rPr>
        <w:t>256QAM is supported in existing UE categories 3-10</w:t>
      </w:r>
      <w:r w:rsidR="00B059EB" w:rsidRPr="00D51442">
        <w:rPr>
          <w:rFonts w:ascii="Times New Roman" w:eastAsiaTheme="minorEastAsia" w:hAnsi="Times New Roman" w:hint="eastAsia"/>
          <w:b/>
          <w:i/>
          <w:sz w:val="20"/>
          <w:szCs w:val="20"/>
        </w:rPr>
        <w:t>.</w:t>
      </w:r>
    </w:p>
    <w:p w:rsidR="002D48F5" w:rsidRPr="002D48F5" w:rsidRDefault="00F83624" w:rsidP="00581AA1">
      <w:pPr>
        <w:spacing w:beforeLines="50" w:afterLines="50"/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745F28">
        <w:rPr>
          <w:rFonts w:ascii="Times New Roman" w:hAnsi="Times New Roman" w:hint="eastAsia"/>
          <w:b/>
          <w:i/>
          <w:sz w:val="20"/>
          <w:szCs w:val="20"/>
        </w:rPr>
        <w:t xml:space="preserve">Proposal 4: </w:t>
      </w:r>
      <w:r w:rsidR="00B059EB" w:rsidRPr="00C93FC6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introduce a new UE category supporting </w:t>
      </w:r>
      <w:r w:rsidR="00B059EB" w:rsidRPr="00C93FC6">
        <w:rPr>
          <w:rFonts w:ascii="Times New Roman" w:eastAsiaTheme="minorEastAsia" w:hAnsi="Times New Roman"/>
          <w:b/>
          <w:i/>
          <w:sz w:val="20"/>
          <w:szCs w:val="20"/>
        </w:rPr>
        <w:t>~4Gbps</w:t>
      </w:r>
      <w:r w:rsidR="00B059EB" w:rsidRPr="00C93FC6">
        <w:rPr>
          <w:rFonts w:ascii="Times New Roman" w:eastAsiaTheme="minorEastAsia" w:hAnsi="Times New Roman" w:hint="eastAsia"/>
          <w:b/>
          <w:i/>
          <w:sz w:val="20"/>
          <w:szCs w:val="20"/>
        </w:rPr>
        <w:t xml:space="preserve"> peak data rate</w:t>
      </w:r>
      <w:r w:rsidR="00B059EB" w:rsidRPr="00C93FC6">
        <w:rPr>
          <w:rFonts w:ascii="Times New Roman" w:eastAsiaTheme="minorEastAsia" w:hAnsi="Times New Roman"/>
          <w:b/>
          <w:i/>
          <w:sz w:val="20"/>
          <w:szCs w:val="20"/>
        </w:rPr>
        <w:t xml:space="preserve"> targeting 5CC, 8 layer MIMO with 256QAM</w:t>
      </w: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RAN1 #76bis Chairman</w:t>
      </w:r>
      <w:r w:rsidR="004F4159">
        <w:rPr>
          <w:rFonts w:ascii="Times New Roman" w:hAnsi="Times New Roman"/>
          <w:sz w:val="20"/>
          <w:szCs w:val="20"/>
          <w:lang w:val="en-GB"/>
        </w:rPr>
        <w:t>’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s note</w:t>
      </w:r>
    </w:p>
    <w:p w:rsidR="00B059EB" w:rsidRDefault="00F83624" w:rsidP="00B059EB">
      <w:pPr>
        <w:rPr>
          <w:rFonts w:eastAsia="MS Mincho"/>
          <w:iCs/>
          <w:lang w:eastAsia="ja-JP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[2]</w:t>
      </w:r>
      <w:r w:rsidRPr="00F83624">
        <w:rPr>
          <w:rFonts w:ascii="Times New Roman" w:hAnsi="Times New Roman"/>
          <w:sz w:val="20"/>
          <w:szCs w:val="20"/>
          <w:lang w:val="en-GB"/>
        </w:rPr>
        <w:t xml:space="preserve"> </w:t>
      </w:r>
      <w:hyperlink r:id="rId7" w:history="1">
        <w:r w:rsidR="00B059EB" w:rsidRPr="00B059EB">
          <w:rPr>
            <w:rFonts w:ascii="Times New Roman" w:hAnsi="Times New Roman"/>
            <w:sz w:val="20"/>
            <w:szCs w:val="20"/>
            <w:lang w:val="en-GB"/>
          </w:rPr>
          <w:t>R1-141120</w:t>
        </w:r>
      </w:hyperlink>
      <w:r w:rsidR="00B059EB" w:rsidRPr="00B059EB">
        <w:rPr>
          <w:rFonts w:ascii="Times New Roman" w:hAnsi="Times New Roman"/>
          <w:sz w:val="20"/>
          <w:szCs w:val="20"/>
          <w:lang w:val="en-GB"/>
        </w:rPr>
        <w:tab/>
        <w:t>Further discussions on CQI/MCS table design for 256QAM</w:t>
      </w:r>
      <w:r w:rsidR="00B059EB" w:rsidRPr="00B059EB">
        <w:rPr>
          <w:rFonts w:ascii="Times New Roman" w:hAnsi="Times New Roman"/>
          <w:sz w:val="20"/>
          <w:szCs w:val="20"/>
          <w:lang w:val="en-GB"/>
        </w:rPr>
        <w:tab/>
        <w:t>Huawei, HiSilicon</w:t>
      </w:r>
    </w:p>
    <w:p w:rsidR="004F4159" w:rsidRPr="00B059EB" w:rsidRDefault="00B059E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[3] </w:t>
      </w:r>
      <w:hyperlink r:id="rId8" w:history="1">
        <w:r w:rsidR="00425099" w:rsidRPr="00425099">
          <w:rPr>
            <w:rFonts w:ascii="Times New Roman" w:hAnsi="Times New Roman"/>
            <w:sz w:val="20"/>
            <w:szCs w:val="20"/>
            <w:lang w:val="en-GB"/>
          </w:rPr>
          <w:t>R1-141</w:t>
        </w:r>
        <w:r w:rsidR="00425099" w:rsidRPr="00425099">
          <w:rPr>
            <w:rFonts w:ascii="Times New Roman" w:hAnsi="Times New Roman" w:hint="eastAsia"/>
            <w:sz w:val="20"/>
            <w:szCs w:val="20"/>
            <w:lang w:val="en-GB"/>
          </w:rPr>
          <w:t>879</w:t>
        </w:r>
      </w:hyperlink>
      <w:r w:rsidR="00425099" w:rsidRPr="00425099">
        <w:rPr>
          <w:rFonts w:ascii="Times New Roman" w:hAnsi="Times New Roman"/>
          <w:sz w:val="20"/>
          <w:szCs w:val="20"/>
          <w:lang w:val="en-GB"/>
        </w:rPr>
        <w:tab/>
        <w:t>WF on 256QAM UE category handling</w:t>
      </w:r>
      <w:r w:rsidR="00425099" w:rsidRPr="00425099">
        <w:rPr>
          <w:rFonts w:ascii="Times New Roman" w:hAnsi="Times New Roman"/>
          <w:sz w:val="20"/>
          <w:szCs w:val="20"/>
          <w:lang w:val="en-GB"/>
        </w:rPr>
        <w:tab/>
        <w:t>Ericsson, CMCC, CATR, Huawei, HiSilicon</w:t>
      </w:r>
      <w:r w:rsidR="00425099">
        <w:rPr>
          <w:rFonts w:ascii="Times New Roman" w:hAnsi="Times New Roman" w:hint="eastAsia"/>
          <w:sz w:val="20"/>
          <w:szCs w:val="20"/>
          <w:lang w:val="en-GB"/>
        </w:rPr>
        <w:t>,</w:t>
      </w:r>
      <w:r w:rsidR="00425099">
        <w:rPr>
          <w:rFonts w:ascii="Times New Roman" w:hAnsi="Times New Roman"/>
          <w:sz w:val="20"/>
          <w:szCs w:val="20"/>
          <w:lang w:val="en-GB"/>
        </w:rPr>
        <w:t>…</w:t>
      </w:r>
    </w:p>
    <w:sectPr w:rsidR="004F4159" w:rsidRPr="00B059EB" w:rsidSect="00D0652D">
      <w:footerReference w:type="even" r:id="rId9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5C2" w:rsidRDefault="001215C2" w:rsidP="00D0652D">
      <w:r>
        <w:separator/>
      </w:r>
    </w:p>
  </w:endnote>
  <w:endnote w:type="continuationSeparator" w:id="0">
    <w:p w:rsidR="001215C2" w:rsidRDefault="001215C2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9F3E93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1215C2">
    <w:pPr>
      <w:pStyle w:val="a4"/>
      <w:ind w:right="360"/>
    </w:pPr>
  </w:p>
  <w:p w:rsidR="001056F8" w:rsidRDefault="001215C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5C2" w:rsidRDefault="001215C2" w:rsidP="00D0652D">
      <w:r>
        <w:separator/>
      </w:r>
    </w:p>
  </w:footnote>
  <w:footnote w:type="continuationSeparator" w:id="0">
    <w:p w:rsidR="001215C2" w:rsidRDefault="001215C2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01DE6306"/>
    <w:multiLevelType w:val="hybridMultilevel"/>
    <w:tmpl w:val="5462900E"/>
    <w:lvl w:ilvl="0" w:tplc="07826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8C106">
      <w:start w:val="4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D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CC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0E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EEF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5E1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C4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947DD6"/>
    <w:multiLevelType w:val="hybridMultilevel"/>
    <w:tmpl w:val="BCB61ED8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4F36C05"/>
    <w:multiLevelType w:val="hybridMultilevel"/>
    <w:tmpl w:val="E5FEF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4D048C"/>
    <w:multiLevelType w:val="hybridMultilevel"/>
    <w:tmpl w:val="89EC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915E1"/>
    <w:multiLevelType w:val="hybridMultilevel"/>
    <w:tmpl w:val="30E663E2"/>
    <w:lvl w:ilvl="0" w:tplc="404AC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147D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C190A">
      <w:start w:val="419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AE2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2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A3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01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6F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01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7840C9"/>
    <w:multiLevelType w:val="hybridMultilevel"/>
    <w:tmpl w:val="437AF40C"/>
    <w:lvl w:ilvl="0" w:tplc="01DEDA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07B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EC6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0DC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E71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A93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EA5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AA07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637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FD24CE"/>
    <w:multiLevelType w:val="hybridMultilevel"/>
    <w:tmpl w:val="50D8D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94C43"/>
    <w:multiLevelType w:val="hybridMultilevel"/>
    <w:tmpl w:val="F6DE3B84"/>
    <w:lvl w:ilvl="0" w:tplc="861C6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0BA2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C9238">
      <w:start w:val="2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28F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6B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29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A2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4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3CD4D2C"/>
    <w:multiLevelType w:val="hybridMultilevel"/>
    <w:tmpl w:val="9CD6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227E1"/>
    <w:multiLevelType w:val="hybridMultilevel"/>
    <w:tmpl w:val="5824E60E"/>
    <w:lvl w:ilvl="0" w:tplc="2C482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C66E06">
      <w:start w:val="5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850A">
      <w:start w:val="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9D6">
      <w:start w:val="58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41982">
      <w:start w:val="58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C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01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2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8C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0303CF"/>
    <w:multiLevelType w:val="hybridMultilevel"/>
    <w:tmpl w:val="BBB20BE4"/>
    <w:lvl w:ilvl="0" w:tplc="AC4C7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02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23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5CC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A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23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0D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60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63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21">
    <w:nsid w:val="7AE1660C"/>
    <w:multiLevelType w:val="hybridMultilevel"/>
    <w:tmpl w:val="6E426A7E"/>
    <w:lvl w:ilvl="0" w:tplc="E1807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0E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C6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A8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A8F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2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6B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05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C6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0"/>
  </w:num>
  <w:num w:numId="8">
    <w:abstractNumId w:val="20"/>
  </w:num>
  <w:num w:numId="9">
    <w:abstractNumId w:val="17"/>
  </w:num>
  <w:num w:numId="10">
    <w:abstractNumId w:val="7"/>
  </w:num>
  <w:num w:numId="11">
    <w:abstractNumId w:val="9"/>
  </w:num>
  <w:num w:numId="12">
    <w:abstractNumId w:val="14"/>
  </w:num>
  <w:num w:numId="13">
    <w:abstractNumId w:val="16"/>
  </w:num>
  <w:num w:numId="14">
    <w:abstractNumId w:val="21"/>
  </w:num>
  <w:num w:numId="15">
    <w:abstractNumId w:val="6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0"/>
  </w:num>
  <w:num w:numId="21">
    <w:abstractNumId w:val="1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11B01"/>
    <w:rsid w:val="00044761"/>
    <w:rsid w:val="00065A17"/>
    <w:rsid w:val="00073530"/>
    <w:rsid w:val="000A0D5A"/>
    <w:rsid w:val="000A75E5"/>
    <w:rsid w:val="000B7D3E"/>
    <w:rsid w:val="000C32A2"/>
    <w:rsid w:val="000C67DF"/>
    <w:rsid w:val="00114C6A"/>
    <w:rsid w:val="001215C2"/>
    <w:rsid w:val="00126FDC"/>
    <w:rsid w:val="001317C3"/>
    <w:rsid w:val="00135D8E"/>
    <w:rsid w:val="001647C7"/>
    <w:rsid w:val="00184070"/>
    <w:rsid w:val="00184119"/>
    <w:rsid w:val="0019191B"/>
    <w:rsid w:val="00196682"/>
    <w:rsid w:val="001A073C"/>
    <w:rsid w:val="001A7491"/>
    <w:rsid w:val="001B7318"/>
    <w:rsid w:val="001D1DB0"/>
    <w:rsid w:val="001D6470"/>
    <w:rsid w:val="001E4832"/>
    <w:rsid w:val="001E7705"/>
    <w:rsid w:val="001F5911"/>
    <w:rsid w:val="00203461"/>
    <w:rsid w:val="00222E52"/>
    <w:rsid w:val="00230DDA"/>
    <w:rsid w:val="00235AE9"/>
    <w:rsid w:val="00241B8C"/>
    <w:rsid w:val="00256D3E"/>
    <w:rsid w:val="00261FBA"/>
    <w:rsid w:val="002806BA"/>
    <w:rsid w:val="00280BDD"/>
    <w:rsid w:val="0029641F"/>
    <w:rsid w:val="002D48F5"/>
    <w:rsid w:val="002E77D3"/>
    <w:rsid w:val="002F0D9B"/>
    <w:rsid w:val="003026BE"/>
    <w:rsid w:val="0030528D"/>
    <w:rsid w:val="00310026"/>
    <w:rsid w:val="00357BB3"/>
    <w:rsid w:val="003646F5"/>
    <w:rsid w:val="00371917"/>
    <w:rsid w:val="003748F5"/>
    <w:rsid w:val="00393088"/>
    <w:rsid w:val="003936DD"/>
    <w:rsid w:val="003A3C63"/>
    <w:rsid w:val="003B3CA6"/>
    <w:rsid w:val="003B4BC4"/>
    <w:rsid w:val="003C34E5"/>
    <w:rsid w:val="003C3D31"/>
    <w:rsid w:val="003C4105"/>
    <w:rsid w:val="003F5607"/>
    <w:rsid w:val="00402178"/>
    <w:rsid w:val="00407689"/>
    <w:rsid w:val="0041067C"/>
    <w:rsid w:val="00412E16"/>
    <w:rsid w:val="00425099"/>
    <w:rsid w:val="004372F7"/>
    <w:rsid w:val="004404F7"/>
    <w:rsid w:val="0044113B"/>
    <w:rsid w:val="00452362"/>
    <w:rsid w:val="00453889"/>
    <w:rsid w:val="00457C47"/>
    <w:rsid w:val="00463F8A"/>
    <w:rsid w:val="00474ABE"/>
    <w:rsid w:val="00480D09"/>
    <w:rsid w:val="004822D3"/>
    <w:rsid w:val="004D2E49"/>
    <w:rsid w:val="004D599B"/>
    <w:rsid w:val="004E0C47"/>
    <w:rsid w:val="004F4159"/>
    <w:rsid w:val="00501821"/>
    <w:rsid w:val="00503B19"/>
    <w:rsid w:val="00504E56"/>
    <w:rsid w:val="00516B3D"/>
    <w:rsid w:val="005354D7"/>
    <w:rsid w:val="00562426"/>
    <w:rsid w:val="00564EFF"/>
    <w:rsid w:val="00574984"/>
    <w:rsid w:val="00581AA1"/>
    <w:rsid w:val="0058340B"/>
    <w:rsid w:val="005B28F9"/>
    <w:rsid w:val="005D5FBD"/>
    <w:rsid w:val="005E000A"/>
    <w:rsid w:val="005E0470"/>
    <w:rsid w:val="005E633C"/>
    <w:rsid w:val="006131A5"/>
    <w:rsid w:val="00613C70"/>
    <w:rsid w:val="00615E0C"/>
    <w:rsid w:val="00621307"/>
    <w:rsid w:val="006243E9"/>
    <w:rsid w:val="00626939"/>
    <w:rsid w:val="0064665C"/>
    <w:rsid w:val="00647563"/>
    <w:rsid w:val="00647CB5"/>
    <w:rsid w:val="00654FCE"/>
    <w:rsid w:val="0065656A"/>
    <w:rsid w:val="00657C46"/>
    <w:rsid w:val="006611BF"/>
    <w:rsid w:val="00676165"/>
    <w:rsid w:val="00691A27"/>
    <w:rsid w:val="006A24F2"/>
    <w:rsid w:val="006A7847"/>
    <w:rsid w:val="006B38F7"/>
    <w:rsid w:val="006B5E21"/>
    <w:rsid w:val="006C174D"/>
    <w:rsid w:val="006D4F7D"/>
    <w:rsid w:val="006D6B7F"/>
    <w:rsid w:val="006D7F60"/>
    <w:rsid w:val="006F58D0"/>
    <w:rsid w:val="006F6BAE"/>
    <w:rsid w:val="00706D7D"/>
    <w:rsid w:val="00706EE9"/>
    <w:rsid w:val="0072242D"/>
    <w:rsid w:val="00725B07"/>
    <w:rsid w:val="007278A8"/>
    <w:rsid w:val="00745F28"/>
    <w:rsid w:val="007553D1"/>
    <w:rsid w:val="007659A6"/>
    <w:rsid w:val="007716E4"/>
    <w:rsid w:val="007725D6"/>
    <w:rsid w:val="00787B86"/>
    <w:rsid w:val="00797D87"/>
    <w:rsid w:val="007D2F43"/>
    <w:rsid w:val="007D4690"/>
    <w:rsid w:val="007E2771"/>
    <w:rsid w:val="007F4AEE"/>
    <w:rsid w:val="007F60FE"/>
    <w:rsid w:val="007F6E43"/>
    <w:rsid w:val="00803B73"/>
    <w:rsid w:val="00807727"/>
    <w:rsid w:val="00813B61"/>
    <w:rsid w:val="00817E57"/>
    <w:rsid w:val="00822018"/>
    <w:rsid w:val="008409F4"/>
    <w:rsid w:val="00864FD5"/>
    <w:rsid w:val="0086690C"/>
    <w:rsid w:val="008772A9"/>
    <w:rsid w:val="008839FC"/>
    <w:rsid w:val="00887992"/>
    <w:rsid w:val="00896773"/>
    <w:rsid w:val="008A1299"/>
    <w:rsid w:val="008B21FB"/>
    <w:rsid w:val="008C27E8"/>
    <w:rsid w:val="008E5CF2"/>
    <w:rsid w:val="008F1473"/>
    <w:rsid w:val="00904AB2"/>
    <w:rsid w:val="00905264"/>
    <w:rsid w:val="009305C8"/>
    <w:rsid w:val="00942541"/>
    <w:rsid w:val="00951CBE"/>
    <w:rsid w:val="0095456F"/>
    <w:rsid w:val="00964A30"/>
    <w:rsid w:val="00980490"/>
    <w:rsid w:val="00995771"/>
    <w:rsid w:val="009C5B1A"/>
    <w:rsid w:val="009D1B7F"/>
    <w:rsid w:val="009D3086"/>
    <w:rsid w:val="009E19E0"/>
    <w:rsid w:val="009E442B"/>
    <w:rsid w:val="009F3E93"/>
    <w:rsid w:val="00A1159C"/>
    <w:rsid w:val="00A12F6F"/>
    <w:rsid w:val="00A166BB"/>
    <w:rsid w:val="00A2464C"/>
    <w:rsid w:val="00A273AA"/>
    <w:rsid w:val="00A30EE0"/>
    <w:rsid w:val="00A42187"/>
    <w:rsid w:val="00A4451E"/>
    <w:rsid w:val="00A6240A"/>
    <w:rsid w:val="00A726D3"/>
    <w:rsid w:val="00A84081"/>
    <w:rsid w:val="00AA2FAB"/>
    <w:rsid w:val="00AB27EC"/>
    <w:rsid w:val="00AB5317"/>
    <w:rsid w:val="00B059EB"/>
    <w:rsid w:val="00B148D6"/>
    <w:rsid w:val="00B3329F"/>
    <w:rsid w:val="00B37703"/>
    <w:rsid w:val="00B7488B"/>
    <w:rsid w:val="00B76BB9"/>
    <w:rsid w:val="00B80EF2"/>
    <w:rsid w:val="00BA1D01"/>
    <w:rsid w:val="00BA4601"/>
    <w:rsid w:val="00BD1292"/>
    <w:rsid w:val="00BD6BA9"/>
    <w:rsid w:val="00C064E6"/>
    <w:rsid w:val="00C26443"/>
    <w:rsid w:val="00C27ABF"/>
    <w:rsid w:val="00C67E6F"/>
    <w:rsid w:val="00C736F0"/>
    <w:rsid w:val="00C7458D"/>
    <w:rsid w:val="00C93FC6"/>
    <w:rsid w:val="00CA5C7E"/>
    <w:rsid w:val="00CD35DB"/>
    <w:rsid w:val="00CE07B9"/>
    <w:rsid w:val="00CF7066"/>
    <w:rsid w:val="00D002A2"/>
    <w:rsid w:val="00D00384"/>
    <w:rsid w:val="00D0652D"/>
    <w:rsid w:val="00D124E0"/>
    <w:rsid w:val="00D154CB"/>
    <w:rsid w:val="00D307A6"/>
    <w:rsid w:val="00D41C80"/>
    <w:rsid w:val="00D45F60"/>
    <w:rsid w:val="00D51442"/>
    <w:rsid w:val="00D600CA"/>
    <w:rsid w:val="00D616BE"/>
    <w:rsid w:val="00D61E1A"/>
    <w:rsid w:val="00D71886"/>
    <w:rsid w:val="00D73E86"/>
    <w:rsid w:val="00D94D41"/>
    <w:rsid w:val="00D95305"/>
    <w:rsid w:val="00DB2F1C"/>
    <w:rsid w:val="00DB7876"/>
    <w:rsid w:val="00DC12D3"/>
    <w:rsid w:val="00DC156A"/>
    <w:rsid w:val="00DC3FF4"/>
    <w:rsid w:val="00DD707F"/>
    <w:rsid w:val="00DE4204"/>
    <w:rsid w:val="00E00268"/>
    <w:rsid w:val="00E23077"/>
    <w:rsid w:val="00E45909"/>
    <w:rsid w:val="00E53088"/>
    <w:rsid w:val="00E559B4"/>
    <w:rsid w:val="00E61ACA"/>
    <w:rsid w:val="00E649D7"/>
    <w:rsid w:val="00E66D99"/>
    <w:rsid w:val="00E77925"/>
    <w:rsid w:val="00E941E9"/>
    <w:rsid w:val="00E96B1E"/>
    <w:rsid w:val="00E97523"/>
    <w:rsid w:val="00EA1982"/>
    <w:rsid w:val="00EA219B"/>
    <w:rsid w:val="00EB0E64"/>
    <w:rsid w:val="00EC65AA"/>
    <w:rsid w:val="00EF0A5C"/>
    <w:rsid w:val="00EF124B"/>
    <w:rsid w:val="00F06E2E"/>
    <w:rsid w:val="00F20A5B"/>
    <w:rsid w:val="00F53772"/>
    <w:rsid w:val="00F56AFB"/>
    <w:rsid w:val="00F57BF9"/>
    <w:rsid w:val="00F71A1F"/>
    <w:rsid w:val="00F82425"/>
    <w:rsid w:val="00F83624"/>
    <w:rsid w:val="00F92663"/>
    <w:rsid w:val="00F97968"/>
    <w:rsid w:val="00FA018A"/>
    <w:rsid w:val="00FA7603"/>
    <w:rsid w:val="00FB52F3"/>
    <w:rsid w:val="00FE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List Paragraph"/>
    <w:basedOn w:val="a"/>
    <w:uiPriority w:val="34"/>
    <w:qFormat/>
    <w:rsid w:val="00BD6BA9"/>
    <w:pPr>
      <w:ind w:firstLineChars="200" w:firstLine="420"/>
    </w:pPr>
  </w:style>
  <w:style w:type="table" w:styleId="a8">
    <w:name w:val="Table Grid"/>
    <w:basedOn w:val="a1"/>
    <w:uiPriority w:val="59"/>
    <w:rsid w:val="008E5C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B059EB"/>
    <w:rPr>
      <w:color w:val="0000FF"/>
      <w:u w:val="single"/>
    </w:rPr>
  </w:style>
  <w:style w:type="paragraph" w:styleId="aa">
    <w:name w:val="Document Map"/>
    <w:basedOn w:val="a"/>
    <w:link w:val="Char2"/>
    <w:uiPriority w:val="99"/>
    <w:semiHidden/>
    <w:unhideWhenUsed/>
    <w:rsid w:val="00581AA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semiHidden/>
    <w:rsid w:val="00581AA1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48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6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enovo\Desktop\contribution%20for%20RAN1%2377\Docs\R1-1417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enovo\Desktop\contribution%20for%20RAN1%2377\Docs\R1-14112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lenovo</cp:lastModifiedBy>
  <cp:revision>2</cp:revision>
  <dcterms:created xsi:type="dcterms:W3CDTF">2014-05-10T11:17:00Z</dcterms:created>
  <dcterms:modified xsi:type="dcterms:W3CDTF">2014-05-10T11:17:00Z</dcterms:modified>
</cp:coreProperties>
</file>