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DengXian" w:cs="바탕"/>
          <w:b/>
          <w:bCs/>
          <w:sz w:val="20"/>
          <w:szCs w:val="20"/>
          <w:lang w:val="en-CA" w:eastAsia="en-US"/>
        </w:rPr>
      </w:pPr>
      <w:r>
        <w:rPr>
          <w:rFonts w:eastAsia="DengXian" w:cs="바탕"/>
          <w:b/>
          <w:bCs/>
          <w:sz w:val="20"/>
          <w:szCs w:val="20"/>
          <w:highlight w:val="yellow"/>
          <w:lang w:val="en-CA" w:eastAsia="en-US"/>
        </w:rPr>
        <w:t>Proposal 1.3B:</w:t>
      </w:r>
    </w:p>
    <w:p w14:paraId="4C583413" w14:textId="77777777" w:rsidR="00CF271E" w:rsidRDefault="005A04FC">
      <w:pPr>
        <w:rPr>
          <w:rFonts w:eastAsia="DengXian" w:cs="바탕"/>
          <w:sz w:val="20"/>
          <w:szCs w:val="20"/>
          <w:lang w:val="en-CA" w:eastAsia="en-US"/>
        </w:rPr>
      </w:pPr>
      <w:r>
        <w:rPr>
          <w:rFonts w:eastAsia="DengXian" w:cs="바탕"/>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0"/>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sTRP/UL mTRP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424D4314" w:rsidR="00CF271E" w:rsidRPr="00604D27" w:rsidRDefault="00604D27" w:rsidP="00604D27">
      <w:pPr>
        <w:pStyle w:val="af0"/>
        <w:numPr>
          <w:ilvl w:val="0"/>
          <w:numId w:val="19"/>
        </w:numPr>
        <w:rPr>
          <w:lang w:val="en-CA" w:eastAsia="zh-CN"/>
        </w:rPr>
      </w:pPr>
      <w:r w:rsidRPr="00604D27">
        <w:rPr>
          <w:lang w:val="en-CA" w:eastAsia="zh-CN"/>
        </w:rPr>
        <w:t xml:space="preserve">Support: ZTE, </w:t>
      </w:r>
      <w:proofErr w:type="spellStart"/>
      <w:r w:rsidRPr="00604D27">
        <w:rPr>
          <w:lang w:val="en-CA" w:eastAsia="zh-CN"/>
        </w:rPr>
        <w:t>Spreadtrum</w:t>
      </w:r>
      <w:proofErr w:type="spellEnd"/>
    </w:p>
    <w:p w14:paraId="26BDA2C4" w14:textId="2DEDCA7D" w:rsidR="00604D27" w:rsidRPr="00604D27" w:rsidRDefault="00604D27" w:rsidP="00604D27">
      <w:pPr>
        <w:pStyle w:val="af0"/>
        <w:numPr>
          <w:ilvl w:val="0"/>
          <w:numId w:val="19"/>
        </w:numPr>
        <w:rPr>
          <w:lang w:val="en-CA" w:eastAsia="zh-CN"/>
        </w:rPr>
      </w:pPr>
      <w:r w:rsidRPr="00604D27">
        <w:rPr>
          <w:lang w:val="en-CA" w:eastAsia="zh-CN"/>
        </w:rPr>
        <w:t>Concern: Samsung,</w:t>
      </w:r>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1" w:author="Lee Guo" w:date="2024-08-19T05:11:00Z">
        <w:r>
          <w:rPr>
            <w:rFonts w:eastAsia="DengXian" w:cs="Arial"/>
            <w:sz w:val="20"/>
            <w:szCs w:val="18"/>
            <w:lang w:val="en-CA"/>
          </w:rPr>
          <w:t xml:space="preserve"> fo</w:t>
        </w:r>
      </w:ins>
      <w:ins w:id="2"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proofErr w:type="spellStart"/>
      <w:r>
        <w:rPr>
          <w:rFonts w:eastAsia="DengXian"/>
          <w:sz w:val="18"/>
          <w:szCs w:val="18"/>
          <w:lang w:eastAsia="zh-CN"/>
        </w:rPr>
        <w:t>Spreadtrum</w:t>
      </w:r>
      <w:proofErr w:type="spellEnd"/>
      <w:r>
        <w:rPr>
          <w:rFonts w:eastAsia="DengXian"/>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DengXian"/>
          <w:sz w:val="18"/>
          <w:szCs w:val="18"/>
          <w:lang w:eastAsia="zh-CN"/>
        </w:rPr>
        <w:t xml:space="preserve">Fujitsu, TCL, Sharp, Sony, </w:t>
      </w:r>
      <w:proofErr w:type="spellStart"/>
      <w:r>
        <w:rPr>
          <w:rFonts w:eastAsia="DengXian"/>
          <w:sz w:val="18"/>
          <w:szCs w:val="18"/>
          <w:lang w:eastAsia="zh-CN"/>
        </w:rPr>
        <w:t>Tejas</w:t>
      </w:r>
      <w:proofErr w:type="spellEnd"/>
      <w:r>
        <w:rPr>
          <w:rFonts w:eastAsia="DengXian"/>
          <w:sz w:val="18"/>
          <w:szCs w:val="18"/>
          <w:lang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c"/>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af0"/>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8108" w:type="dxa"/>
          </w:tcPr>
          <w:p w14:paraId="16F5E2C4" w14:textId="77777777" w:rsidR="00AD2E02" w:rsidRDefault="00AD2E02" w:rsidP="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1.3B</w:t>
            </w:r>
            <w:r>
              <w:rPr>
                <w:rFonts w:eastAsia="맑은 고딕"/>
                <w:sz w:val="20"/>
                <w:szCs w:val="20"/>
                <w:lang w:eastAsia="ko-KR"/>
              </w:rPr>
              <w:t>: Given current condition for Type 3 PHR, we are not supportive.</w:t>
            </w:r>
          </w:p>
          <w:p w14:paraId="720946FA" w14:textId="77777777" w:rsidR="00AD2E02" w:rsidRPr="00AD2E02" w:rsidRDefault="00AD2E02" w:rsidP="00AD2E02">
            <w:pPr>
              <w:pStyle w:val="af0"/>
              <w:ind w:left="62"/>
              <w:rPr>
                <w:rFonts w:eastAsia="맑은 고딕"/>
                <w:sz w:val="20"/>
                <w:szCs w:val="20"/>
                <w:lang w:eastAsia="ko-KR"/>
              </w:rPr>
            </w:pPr>
          </w:p>
          <w:p w14:paraId="68F4D37D" w14:textId="77777777" w:rsidR="00AD2E02" w:rsidRPr="00AD2E02" w:rsidRDefault="00AD2E02" w:rsidP="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roposal 1.5</w:t>
            </w:r>
            <w:r w:rsidRPr="00AD2E02">
              <w:rPr>
                <w:rFonts w:eastAsia="맑은 고딕"/>
                <w:sz w:val="20"/>
                <w:szCs w:val="20"/>
                <w:lang w:eastAsia="ko-KR"/>
              </w:rPr>
              <w:t>:</w:t>
            </w:r>
            <w:r w:rsidRPr="00AD2E02">
              <w:rPr>
                <w:rFonts w:eastAsia="맑은 고딕"/>
                <w:b/>
                <w:sz w:val="20"/>
                <w:szCs w:val="20"/>
                <w:lang w:eastAsia="ko-KR"/>
              </w:rPr>
              <w:t xml:space="preserve"> </w:t>
            </w:r>
            <w:r w:rsidRPr="00AD2E02">
              <w:rPr>
                <w:rFonts w:eastAsia="맑은 고딕"/>
                <w:sz w:val="20"/>
                <w:szCs w:val="20"/>
                <w:lang w:eastAsia="ko-KR"/>
              </w:rPr>
              <w:t>We are</w:t>
            </w:r>
            <w:r>
              <w:rPr>
                <w:rFonts w:eastAsia="맑은 고딕"/>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2C597F2A" w14:textId="77777777" w:rsidR="00C16A90" w:rsidRPr="00C16A90" w:rsidRDefault="00C16A90" w:rsidP="00AD2E02">
            <w:pPr>
              <w:pStyle w:val="af0"/>
              <w:ind w:left="62"/>
              <w:rPr>
                <w:rFonts w:eastAsia="맑은 고딕"/>
                <w:sz w:val="20"/>
                <w:szCs w:val="20"/>
                <w:lang w:eastAsia="ko-KR"/>
              </w:rPr>
            </w:pPr>
            <w:r w:rsidRPr="00C16A90">
              <w:rPr>
                <w:rFonts w:eastAsia="맑은 고딕"/>
                <w:b/>
                <w:sz w:val="20"/>
                <w:szCs w:val="20"/>
                <w:lang w:eastAsia="ko-KR"/>
              </w:rPr>
              <w:t>Proposal 1.3B</w:t>
            </w:r>
            <w:r w:rsidRPr="00C16A90">
              <w:rPr>
                <w:rFonts w:eastAsia="맑은 고딕"/>
                <w:sz w:val="20"/>
                <w:szCs w:val="20"/>
                <w:lang w:eastAsia="ko-KR"/>
              </w:rPr>
              <w:t>: Fine to have the study.</w:t>
            </w:r>
          </w:p>
          <w:p w14:paraId="00702675" w14:textId="77777777" w:rsidR="00C16A90" w:rsidRPr="00C16A90" w:rsidRDefault="00C16A90" w:rsidP="00AD2E02">
            <w:pPr>
              <w:pStyle w:val="af0"/>
              <w:ind w:left="62"/>
              <w:rPr>
                <w:rFonts w:eastAsia="DengXian"/>
                <w:b/>
                <w:sz w:val="20"/>
                <w:szCs w:val="20"/>
                <w:u w:val="single"/>
                <w:lang w:eastAsia="zh-CN"/>
              </w:rPr>
            </w:pPr>
            <w:r w:rsidRPr="00C16A90">
              <w:rPr>
                <w:rFonts w:eastAsia="맑은 고딕"/>
                <w:b/>
                <w:sz w:val="20"/>
                <w:szCs w:val="20"/>
                <w:lang w:eastAsia="ko-KR"/>
              </w:rPr>
              <w:t>Proposal 1.5</w:t>
            </w:r>
            <w:r w:rsidRPr="00C16A90">
              <w:rPr>
                <w:rFonts w:eastAsia="맑은 고딕"/>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af0"/>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af0"/>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0"/>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0"/>
              <w:ind w:left="62"/>
              <w:rPr>
                <w:rFonts w:eastAsia="맑은 고딕"/>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0"/>
              <w:ind w:left="62"/>
              <w:rPr>
                <w:rFonts w:eastAsia="DengXian"/>
                <w:b/>
                <w:bCs/>
                <w:sz w:val="20"/>
                <w:szCs w:val="20"/>
                <w:lang w:eastAsia="zh-CN"/>
              </w:rPr>
            </w:pPr>
            <w:r w:rsidRPr="00243407">
              <w:rPr>
                <w:rFonts w:eastAsia="DengXian"/>
                <w:b/>
                <w:bCs/>
                <w:sz w:val="20"/>
                <w:szCs w:val="20"/>
                <w:lang w:eastAsia="zh-CN"/>
              </w:rPr>
              <w:t>Proposal 1.5</w:t>
            </w:r>
            <w:r>
              <w:rPr>
                <w:rFonts w:eastAsia="맑은 고딕"/>
                <w:sz w:val="20"/>
                <w:szCs w:val="20"/>
                <w:lang w:eastAsia="ko-KR"/>
              </w:rPr>
              <w:t>:</w:t>
            </w:r>
            <w:r>
              <w:rPr>
                <w:rFonts w:eastAsia="맑은 고딕"/>
                <w:b/>
                <w:sz w:val="20"/>
                <w:szCs w:val="20"/>
                <w:lang w:eastAsia="ko-KR"/>
              </w:rPr>
              <w:t xml:space="preserve"> </w:t>
            </w:r>
            <w:r>
              <w:rPr>
                <w:rFonts w:eastAsia="맑은 고딕"/>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proofErr w:type="spellStart"/>
            <w:r>
              <w:rPr>
                <w:sz w:val="20"/>
                <w:szCs w:val="20"/>
              </w:rPr>
              <w:t>Tejas</w:t>
            </w:r>
            <w:proofErr w:type="spellEnd"/>
          </w:p>
        </w:tc>
        <w:tc>
          <w:tcPr>
            <w:tcW w:w="8108" w:type="dxa"/>
          </w:tcPr>
          <w:p w14:paraId="6275B5A9" w14:textId="5C262FA2" w:rsidR="00CC5C69" w:rsidRPr="00243407" w:rsidRDefault="00CC5C69" w:rsidP="00CC5C69">
            <w:pPr>
              <w:pStyle w:val="af0"/>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w:t>
            </w:r>
            <w:r>
              <w:rPr>
                <w:rFonts w:eastAsia="DengXian"/>
                <w:sz w:val="20"/>
                <w:szCs w:val="20"/>
                <w:lang w:val="en-CA" w:eastAsia="zh-CN"/>
              </w:rPr>
              <w:t>Not support.</w:t>
            </w:r>
          </w:p>
          <w:p w14:paraId="1B8BACBE" w14:textId="554F7A31" w:rsidR="00567B20" w:rsidRDefault="00567B20" w:rsidP="00567B20">
            <w:pPr>
              <w:pStyle w:val="af0"/>
              <w:ind w:left="62"/>
              <w:rPr>
                <w:rFonts w:eastAsia="DengXian" w:hint="eastAsia"/>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w:t>
            </w:r>
            <w:r>
              <w:rPr>
                <w:rFonts w:eastAsia="DengXian"/>
                <w:sz w:val="20"/>
                <w:szCs w:val="20"/>
                <w:lang w:val="en-CA" w:eastAsia="zh-CN"/>
              </w:rPr>
              <w:t>S</w:t>
            </w:r>
            <w:r>
              <w:rPr>
                <w:rFonts w:eastAsia="DengXian"/>
                <w:sz w:val="20"/>
                <w:szCs w:val="20"/>
                <w:lang w:val="en-CA" w:eastAsia="zh-CN"/>
              </w:rPr>
              <w:t>upport.</w:t>
            </w: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3" w:author="Lee Guo" w:date="2024-08-19T05:14:00Z">
        <w:r>
          <w:rPr>
            <w:rFonts w:eastAsia="DengXian"/>
            <w:sz w:val="20"/>
            <w:szCs w:val="20"/>
            <w:lang w:val="en-CA" w:eastAsia="zh-CN"/>
          </w:rPr>
          <w:delText>of Rel-19</w:delText>
        </w:r>
      </w:del>
      <w:ins w:id="4"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af0"/>
        <w:numPr>
          <w:ilvl w:val="0"/>
          <w:numId w:val="8"/>
        </w:numPr>
        <w:rPr>
          <w:ins w:id="5" w:author="Lee Guo" w:date="2024-08-19T05:17:00Z"/>
          <w:rFonts w:eastAsia="DengXian"/>
          <w:sz w:val="20"/>
          <w:szCs w:val="20"/>
          <w:lang w:val="en-CA" w:eastAsia="zh-CN"/>
        </w:rPr>
      </w:pPr>
      <w:ins w:id="6" w:author="Lee Guo" w:date="2024-08-19T05:17:00Z">
        <w:r>
          <w:rPr>
            <w:rFonts w:eastAsia="DengXian"/>
            <w:sz w:val="20"/>
            <w:szCs w:val="20"/>
            <w:lang w:val="en-CA" w:eastAsia="zh-CN"/>
          </w:rPr>
          <w:t>This is subject to UE capability</w:t>
        </w:r>
      </w:ins>
    </w:p>
    <w:p w14:paraId="6B924C82"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7" w:author="Lee Guo" w:date="2024-08-19T05:14:00Z">
        <w:r>
          <w:rPr>
            <w:rFonts w:eastAsia="DengXian"/>
            <w:sz w:val="20"/>
            <w:szCs w:val="20"/>
            <w:lang w:val="en-CA" w:eastAsia="zh-CN"/>
          </w:rPr>
          <w:t xml:space="preserve"> where</w:t>
        </w:r>
      </w:ins>
      <w:del w:id="8" w:author="Lee Guo" w:date="2024-08-19T05:14:00Z">
        <w:r>
          <w:rPr>
            <w:rFonts w:eastAsia="DengXian"/>
            <w:sz w:val="20"/>
            <w:szCs w:val="20"/>
            <w:lang w:val="en-CA" w:eastAsia="zh-CN"/>
          </w:rPr>
          <w:delText>.</w:delText>
        </w:r>
      </w:del>
      <w:ins w:id="9" w:author="Lee Guo" w:date="2024-08-19T05:14:00Z">
        <w:r>
          <w:rPr>
            <w:rFonts w:eastAsia="DengXian"/>
            <w:sz w:val="20"/>
            <w:szCs w:val="20"/>
            <w:lang w:val="en-CA" w:eastAsia="zh-CN"/>
          </w:rPr>
          <w:t>:</w:t>
        </w:r>
      </w:ins>
    </w:p>
    <w:p w14:paraId="668DFB2E" w14:textId="77777777" w:rsidR="00CF271E" w:rsidRDefault="005A04FC">
      <w:pPr>
        <w:pStyle w:val="af0"/>
        <w:numPr>
          <w:ilvl w:val="1"/>
          <w:numId w:val="8"/>
        </w:numPr>
        <w:rPr>
          <w:rFonts w:eastAsia="DengXian"/>
          <w:sz w:val="20"/>
          <w:szCs w:val="20"/>
          <w:lang w:val="en-CA" w:eastAsia="zh-CN"/>
        </w:rPr>
        <w:pPrChange w:id="10" w:author="Lee Guo" w:date="2024-08-19T05:18:00Z">
          <w:pPr>
            <w:pStyle w:val="af0"/>
            <w:numPr>
              <w:numId w:val="8"/>
            </w:numPr>
            <w:ind w:hanging="360"/>
          </w:pPr>
        </w:pPrChange>
      </w:pPr>
      <w:del w:id="11" w:author="Lee Guo" w:date="2024-08-19T05:18:00Z">
        <w:r>
          <w:rPr>
            <w:rFonts w:eastAsia="DengXian"/>
            <w:sz w:val="20"/>
            <w:szCs w:val="20"/>
            <w:lang w:val="en-CA" w:eastAsia="zh-CN"/>
          </w:rPr>
          <w:delText>These two DCI fields</w:delText>
        </w:r>
      </w:del>
      <w:ins w:id="12" w:author="Lee Guo" w:date="2024-08-19T05:18:00Z">
        <w:r>
          <w:rPr>
            <w:rFonts w:eastAsia="DengXian"/>
            <w:sz w:val="20"/>
            <w:szCs w:val="20"/>
            <w:lang w:val="en-CA" w:eastAsia="zh-CN"/>
          </w:rPr>
          <w:t xml:space="preserve">The 1-bit SRS CLPC indicator and 2-bit </w:t>
        </w:r>
      </w:ins>
      <w:ins w:id="13"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4" w:author="Lee Guo" w:date="2024-08-19T05:20:00Z">
        <w:r>
          <w:rPr>
            <w:rFonts w:eastAsia="DengXian"/>
            <w:sz w:val="20"/>
            <w:szCs w:val="20"/>
            <w:lang w:val="en-CA" w:eastAsia="zh-CN"/>
          </w:rPr>
          <w:delText xml:space="preserve">where </w:delText>
        </w:r>
      </w:del>
      <w:ins w:id="15" w:author="Lee Guo" w:date="2024-08-19T05:20:00Z">
        <w:r>
          <w:rPr>
            <w:rFonts w:eastAsia="DengXian"/>
            <w:sz w:val="20"/>
            <w:szCs w:val="20"/>
            <w:lang w:val="en-CA" w:eastAsia="zh-CN"/>
          </w:rPr>
          <w:t xml:space="preserve">if </w:t>
        </w:r>
      </w:ins>
      <w:r>
        <w:rPr>
          <w:rFonts w:eastAsia="DengXian"/>
          <w:sz w:val="20"/>
          <w:szCs w:val="20"/>
          <w:lang w:val="en-CA" w:eastAsia="zh-CN"/>
        </w:rPr>
        <w:t>two separate SRS CLPC adjustment states are configured</w:t>
      </w:r>
      <w:ins w:id="16" w:author="Lee Guo" w:date="2024-08-19T05:20:00Z">
        <w:r>
          <w:rPr>
            <w:rFonts w:eastAsia="DengXian"/>
            <w:sz w:val="20"/>
            <w:szCs w:val="20"/>
            <w:lang w:val="en-CA" w:eastAsia="zh-CN"/>
          </w:rPr>
          <w:t xml:space="preserve">, UE reports supporting this </w:t>
        </w:r>
      </w:ins>
      <w:ins w:id="17"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 xml:space="preserve">Support: Samsung, ZTE, MTK, CMCC, Ericsson, NTT DOCOMO, Nokia, Google, ETRI, Fujitsu, Sharp, Sony, Apple, </w:t>
      </w:r>
      <w:proofErr w:type="spellStart"/>
      <w:r>
        <w:rPr>
          <w:rFonts w:eastAsia="DengXian" w:cs="바탕"/>
          <w:sz w:val="20"/>
          <w:szCs w:val="20"/>
          <w:lang w:val="en-GB" w:eastAsia="zh-CN"/>
        </w:rPr>
        <w:t>Tejas</w:t>
      </w:r>
      <w:proofErr w:type="spellEnd"/>
      <w:r>
        <w:rPr>
          <w:rFonts w:eastAsia="DengXian" w:cs="바탕"/>
          <w:sz w:val="20"/>
          <w:szCs w:val="20"/>
          <w:lang w:val="en-GB" w:eastAsia="zh-CN"/>
        </w:rPr>
        <w:t xml:space="preserve">, </w:t>
      </w:r>
    </w:p>
    <w:p w14:paraId="3393866F" w14:textId="77777777"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Concerns:</w:t>
      </w:r>
      <w:r>
        <w:rPr>
          <w:rFonts w:eastAsia="DengXian" w:cs="바탕" w:hint="eastAsia"/>
          <w:sz w:val="20"/>
          <w:szCs w:val="20"/>
          <w:lang w:val="en-GB" w:eastAsia="zh-CN"/>
        </w:rPr>
        <w:t xml:space="preserve"> </w:t>
      </w:r>
      <w:r>
        <w:rPr>
          <w:rFonts w:eastAsia="DengXian" w:cs="바탕"/>
          <w:sz w:val="20"/>
          <w:szCs w:val="20"/>
          <w:lang w:eastAsia="zh-CN"/>
        </w:rPr>
        <w:t xml:space="preserve">OPPO, HW, </w:t>
      </w:r>
      <w:proofErr w:type="spellStart"/>
      <w:r>
        <w:rPr>
          <w:rFonts w:eastAsia="DengXian" w:cs="바탕"/>
          <w:sz w:val="20"/>
          <w:szCs w:val="20"/>
          <w:lang w:eastAsia="zh-CN"/>
        </w:rPr>
        <w:t>Spreatrum</w:t>
      </w:r>
      <w:proofErr w:type="spellEnd"/>
      <w:r>
        <w:rPr>
          <w:rFonts w:eastAsia="DengXian" w:cs="바탕"/>
          <w:sz w:val="20"/>
          <w:szCs w:val="20"/>
          <w:lang w:eastAsia="zh-CN"/>
        </w:rPr>
        <w:t xml:space="preserve">,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18"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77777777"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6C9AFB66"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77777777"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1A710D7C"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19" w:author="Lee Guo" w:date="2024-08-20T01:39:00Z"/>
          <w:color w:val="0000FF"/>
          <w:sz w:val="20"/>
          <w:szCs w:val="20"/>
          <w:lang w:val="en-CA" w:eastAsia="zh-CN"/>
        </w:rPr>
      </w:pPr>
      <w:r>
        <w:rPr>
          <w:color w:val="0000FF"/>
          <w:sz w:val="20"/>
          <w:szCs w:val="20"/>
          <w:lang w:val="en-CA" w:eastAsia="zh-CN"/>
        </w:rPr>
        <w:lastRenderedPageBreak/>
        <w:t xml:space="preserve">Mod: My suggestion is to list both Alt1 and Alt2, and we do down-selection in RAN1#118bis. The views on Alt1 and Alt2 diverged a lot now. </w:t>
      </w:r>
      <w:ins w:id="20" w:author="Lee Guo" w:date="2024-08-20T01:39:00Z">
        <w:r w:rsidR="00A3613C">
          <w:rPr>
            <w:color w:val="0000FF"/>
            <w:sz w:val="20"/>
            <w:szCs w:val="20"/>
            <w:lang w:val="en-CA" w:eastAsia="zh-CN"/>
          </w:rPr>
          <w:t>And the views input during round-1 discussion are:</w:t>
        </w:r>
      </w:ins>
    </w:p>
    <w:p w14:paraId="10EAED59" w14:textId="77777777" w:rsidR="00A3613C" w:rsidRPr="00215BE9" w:rsidRDefault="00A3613C" w:rsidP="00A3613C">
      <w:pPr>
        <w:pStyle w:val="af0"/>
        <w:numPr>
          <w:ilvl w:val="0"/>
          <w:numId w:val="17"/>
        </w:numPr>
        <w:rPr>
          <w:ins w:id="21" w:author="Lee Guo" w:date="2024-08-20T01:39:00Z"/>
          <w:rFonts w:eastAsia="DengXian" w:cs="바탕"/>
          <w:sz w:val="20"/>
          <w:szCs w:val="20"/>
          <w:lang w:val="en-GB" w:eastAsia="zh-CN"/>
        </w:rPr>
      </w:pPr>
      <w:ins w:id="22" w:author="Lee Guo" w:date="2024-08-20T01:39:00Z">
        <w:r>
          <w:rPr>
            <w:rFonts w:eastAsia="DengXian" w:cs="바탕"/>
            <w:sz w:val="20"/>
            <w:szCs w:val="20"/>
            <w:lang w:val="en-GB" w:eastAsia="zh-CN"/>
          </w:rPr>
          <w:t>Alt1</w:t>
        </w:r>
        <w:r w:rsidRPr="00215BE9">
          <w:rPr>
            <w:rFonts w:eastAsia="DengXian" w:cs="바탕"/>
            <w:sz w:val="20"/>
            <w:szCs w:val="20"/>
            <w:lang w:val="en-GB" w:eastAsia="zh-CN"/>
          </w:rPr>
          <w:t>:</w:t>
        </w:r>
        <w:r>
          <w:rPr>
            <w:rFonts w:eastAsia="DengXian" w:cs="바탕"/>
            <w:sz w:val="20"/>
            <w:szCs w:val="20"/>
            <w:lang w:val="en-GB" w:eastAsia="zh-CN"/>
          </w:rPr>
          <w:t xml:space="preserve"> Samsung, MTK, HW, </w:t>
        </w:r>
        <w:proofErr w:type="spellStart"/>
        <w:r>
          <w:rPr>
            <w:rFonts w:eastAsia="DengXian" w:cs="바탕"/>
            <w:sz w:val="20"/>
            <w:szCs w:val="20"/>
            <w:lang w:val="en-GB" w:eastAsia="zh-CN"/>
          </w:rPr>
          <w:t>Spreadtrum</w:t>
        </w:r>
        <w:proofErr w:type="spellEnd"/>
        <w:r>
          <w:rPr>
            <w:rFonts w:eastAsia="DengXian" w:cs="바탕"/>
            <w:sz w:val="20"/>
            <w:szCs w:val="20"/>
            <w:lang w:val="en-GB" w:eastAsia="zh-CN"/>
          </w:rPr>
          <w:t xml:space="preserve">, NTT DOCOMO, Nokia, QC, Intel, TCL, Sony, Apple, </w:t>
        </w:r>
        <w:proofErr w:type="spellStart"/>
        <w:r>
          <w:rPr>
            <w:rFonts w:eastAsia="SimSun" w:hint="eastAsia"/>
            <w:sz w:val="20"/>
            <w:szCs w:val="20"/>
            <w:lang w:eastAsia="zh-CN"/>
          </w:rPr>
          <w:t>Transsion</w:t>
        </w:r>
        <w:proofErr w:type="spellEnd"/>
      </w:ins>
    </w:p>
    <w:p w14:paraId="1FA03997" w14:textId="77777777" w:rsidR="00A3613C" w:rsidRPr="00215BE9" w:rsidRDefault="00A3613C" w:rsidP="00A3613C">
      <w:pPr>
        <w:pStyle w:val="af0"/>
        <w:numPr>
          <w:ilvl w:val="0"/>
          <w:numId w:val="17"/>
        </w:numPr>
        <w:rPr>
          <w:ins w:id="23" w:author="Lee Guo" w:date="2024-08-20T01:39:00Z"/>
          <w:rFonts w:eastAsia="DengXian" w:cs="바탕"/>
          <w:sz w:val="20"/>
          <w:szCs w:val="20"/>
          <w:lang w:val="en-GB" w:eastAsia="zh-CN"/>
        </w:rPr>
      </w:pPr>
      <w:ins w:id="24" w:author="Lee Guo" w:date="2024-08-20T01:39:00Z">
        <w:r>
          <w:rPr>
            <w:rFonts w:eastAsia="DengXian" w:cs="바탕"/>
            <w:sz w:val="20"/>
            <w:szCs w:val="20"/>
            <w:lang w:val="en-GB" w:eastAsia="zh-CN"/>
          </w:rPr>
          <w:t>Alt2</w:t>
        </w:r>
        <w:r w:rsidRPr="00215BE9">
          <w:rPr>
            <w:rFonts w:eastAsia="DengXian" w:cs="바탕"/>
            <w:sz w:val="20"/>
            <w:szCs w:val="20"/>
            <w:lang w:val="en-GB" w:eastAsia="zh-CN"/>
          </w:rPr>
          <w:t>:</w:t>
        </w:r>
        <w:r>
          <w:rPr>
            <w:rFonts w:eastAsia="DengXian" w:cs="바탕"/>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25"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af0"/>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Support: Samsung, ZTE, MTK, CMCC, Ericsson,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xml:space="preserve">, Lenovo, NTT DOCOMO, Nokia, Google, LG, Xiaomi, ETRI, Fujitsu, Intel, Sharp, Sony,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af0"/>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r>
        <w:rPr>
          <w:rFonts w:eastAsia="DengXian"/>
          <w:sz w:val="20"/>
          <w:szCs w:val="20"/>
          <w:lang w:val="en-CA" w:eastAsia="zh-CN"/>
        </w:rPr>
        <w:t>e.g</w:t>
      </w:r>
      <w:proofErr w:type="spellEnd"/>
      <w:r>
        <w:rPr>
          <w:rFonts w:eastAsia="DengXian"/>
          <w:sz w:val="20"/>
          <w:szCs w:val="20"/>
          <w:lang w:val="en-CA" w:eastAsia="zh-CN"/>
        </w:rPr>
        <w:t>,,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0"/>
        <w:numPr>
          <w:ilvl w:val="0"/>
          <w:numId w:val="13"/>
        </w:numPr>
        <w:rPr>
          <w:rFonts w:eastAsia="DengXian" w:cs="바탕"/>
          <w:sz w:val="18"/>
          <w:szCs w:val="18"/>
          <w:lang w:val="en-GB" w:eastAsia="zh-CN"/>
        </w:rPr>
      </w:pPr>
      <w:r>
        <w:rPr>
          <w:rFonts w:eastAsia="DengXian" w:cs="바탕"/>
          <w:sz w:val="18"/>
          <w:szCs w:val="18"/>
          <w:lang w:val="en-GB" w:eastAsia="zh-CN"/>
        </w:rPr>
        <w:t xml:space="preserve">Support: Samsung, ZTE, MTK, CMCC, Ericsson, HW, NTT DOCOMO, Nokia, Google, LG, Xiaomi, CATT, NEC, ETRI, Fujitsu, Intel, TCL, Sharp, Sony, Apple,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af0"/>
        <w:numPr>
          <w:ilvl w:val="0"/>
          <w:numId w:val="13"/>
        </w:numPr>
        <w:rPr>
          <w:sz w:val="20"/>
          <w:szCs w:val="22"/>
          <w:lang w:val="en-CA" w:eastAsia="zh-CN"/>
        </w:rPr>
      </w:pPr>
      <w:r>
        <w:rPr>
          <w:rFonts w:eastAsia="DengXian" w:cs="바탕"/>
          <w:sz w:val="18"/>
          <w:szCs w:val="18"/>
          <w:lang w:val="en-GB" w:eastAsia="zh-CN"/>
        </w:rPr>
        <w:t xml:space="preserve">Concern: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af0"/>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af0"/>
              <w:ind w:left="62"/>
              <w:rPr>
                <w:rFonts w:eastAsia="SimSun"/>
                <w:sz w:val="20"/>
                <w:szCs w:val="20"/>
                <w:lang w:eastAsia="zh-CN"/>
              </w:rPr>
            </w:pPr>
          </w:p>
          <w:p w14:paraId="6F7CB5AF" w14:textId="77777777" w:rsidR="00CF271E" w:rsidRDefault="005A04FC">
            <w:pPr>
              <w:pStyle w:val="af0"/>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af0"/>
              <w:numPr>
                <w:ilvl w:val="0"/>
                <w:numId w:val="14"/>
              </w:numPr>
              <w:rPr>
                <w:rFonts w:eastAsia="SimSun"/>
                <w:sz w:val="20"/>
                <w:szCs w:val="20"/>
                <w:lang w:eastAsia="zh-CN"/>
              </w:rPr>
            </w:pPr>
            <w:r>
              <w:rPr>
                <w:rFonts w:eastAsia="SimSun" w:hint="eastAsia"/>
                <w:sz w:val="20"/>
                <w:szCs w:val="20"/>
                <w:lang w:eastAsia="zh-CN"/>
              </w:rPr>
              <w:lastRenderedPageBreak/>
              <w:t>As stated in WID, Rel-19 asymmetric DL sTRP/UL mTRP assumes intra-band and non-co-located mTRP scenarios, in which SUL is precluded.</w:t>
            </w:r>
          </w:p>
          <w:p w14:paraId="6F93DFA9" w14:textId="77777777" w:rsidR="00CF271E" w:rsidRDefault="005A04FC">
            <w:pPr>
              <w:pStyle w:val="af0"/>
              <w:numPr>
                <w:ilvl w:val="0"/>
                <w:numId w:val="14"/>
              </w:numPr>
              <w:rPr>
                <w:rFonts w:eastAsia="SimSun"/>
                <w:sz w:val="20"/>
                <w:szCs w:val="20"/>
                <w:lang w:eastAsia="zh-CN"/>
              </w:rPr>
            </w:pPr>
            <w:r>
              <w:rPr>
                <w:rFonts w:eastAsia="SimSun"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af0"/>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0"/>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af0"/>
              <w:ind w:left="62"/>
              <w:rPr>
                <w:rFonts w:eastAsia="SimSun"/>
                <w:sz w:val="20"/>
                <w:szCs w:val="20"/>
                <w:lang w:eastAsia="zh-CN"/>
              </w:rPr>
            </w:pPr>
          </w:p>
          <w:p w14:paraId="62D254B5"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af0"/>
              <w:ind w:left="62"/>
              <w:rPr>
                <w:rFonts w:eastAsia="SimSun"/>
                <w:sz w:val="20"/>
                <w:szCs w:val="20"/>
                <w:lang w:eastAsia="zh-CN"/>
              </w:rPr>
            </w:pPr>
          </w:p>
          <w:p w14:paraId="77338EEF"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af0"/>
              <w:ind w:left="62"/>
              <w:rPr>
                <w:rFonts w:eastAsia="SimSun"/>
                <w:sz w:val="20"/>
                <w:szCs w:val="20"/>
                <w:lang w:eastAsia="zh-CN"/>
              </w:rPr>
            </w:pPr>
          </w:p>
          <w:p w14:paraId="5231DF88"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맑은 고딕"/>
                <w:sz w:val="20"/>
                <w:szCs w:val="20"/>
                <w:lang w:eastAsia="ko-KR"/>
              </w:rPr>
            </w:pPr>
            <w:r w:rsidRPr="00AD2E02">
              <w:rPr>
                <w:rFonts w:eastAsia="맑은 고딕" w:hint="eastAsia"/>
                <w:sz w:val="20"/>
                <w:szCs w:val="20"/>
                <w:lang w:eastAsia="ko-KR"/>
              </w:rPr>
              <w:lastRenderedPageBreak/>
              <w:t>S</w:t>
            </w:r>
            <w:r w:rsidRPr="00AD2E02">
              <w:rPr>
                <w:rFonts w:eastAsia="맑은 고딕"/>
                <w:sz w:val="20"/>
                <w:szCs w:val="20"/>
                <w:lang w:eastAsia="ko-KR"/>
              </w:rPr>
              <w:t>amsung</w:t>
            </w:r>
          </w:p>
        </w:tc>
        <w:tc>
          <w:tcPr>
            <w:tcW w:w="8108" w:type="dxa"/>
          </w:tcPr>
          <w:p w14:paraId="0DE6D927" w14:textId="77777777" w:rsidR="00AD2E02" w:rsidRDefault="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2.1</w:t>
            </w:r>
            <w:r>
              <w:rPr>
                <w:rFonts w:eastAsia="맑은 고딕"/>
                <w:sz w:val="20"/>
                <w:szCs w:val="20"/>
                <w:lang w:eastAsia="ko-KR"/>
              </w:rPr>
              <w:t xml:space="preserve">: </w:t>
            </w:r>
          </w:p>
          <w:p w14:paraId="6C255DF2" w14:textId="77777777" w:rsidR="00AD2E02" w:rsidRDefault="00AD2E02">
            <w:pPr>
              <w:pStyle w:val="af0"/>
              <w:ind w:left="62"/>
              <w:rPr>
                <w:rFonts w:eastAsia="맑은 고딕"/>
                <w:sz w:val="20"/>
                <w:szCs w:val="20"/>
                <w:lang w:eastAsia="ko-KR"/>
              </w:rPr>
            </w:pPr>
            <w:r>
              <w:rPr>
                <w:rFonts w:eastAsia="맑은 고딕"/>
                <w:sz w:val="20"/>
                <w:szCs w:val="20"/>
                <w:lang w:eastAsia="ko-KR"/>
              </w:rPr>
              <w:t xml:space="preserve">Actually our comment was that we need to introduce different condition for two new fields. </w:t>
            </w:r>
          </w:p>
          <w:p w14:paraId="7091F044" w14:textId="77777777" w:rsidR="00CF271E" w:rsidRDefault="00AD2E02" w:rsidP="00AD2E02">
            <w:pPr>
              <w:pStyle w:val="af0"/>
              <w:numPr>
                <w:ilvl w:val="0"/>
                <w:numId w:val="14"/>
              </w:numPr>
              <w:rPr>
                <w:rFonts w:eastAsia="맑은 고딕"/>
                <w:sz w:val="20"/>
                <w:szCs w:val="20"/>
                <w:lang w:eastAsia="ko-KR"/>
              </w:rPr>
            </w:pPr>
            <w:r>
              <w:rPr>
                <w:rFonts w:eastAsia="맑은 고딕"/>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0"/>
              <w:numPr>
                <w:ilvl w:val="0"/>
                <w:numId w:val="14"/>
              </w:numPr>
              <w:rPr>
                <w:rFonts w:eastAsia="맑은 고딕"/>
                <w:sz w:val="20"/>
                <w:szCs w:val="20"/>
                <w:lang w:eastAsia="ko-KR"/>
              </w:rPr>
            </w:pPr>
            <w:r>
              <w:rPr>
                <w:rFonts w:eastAsia="맑은 고딕" w:hint="eastAsia"/>
                <w:sz w:val="20"/>
                <w:szCs w:val="20"/>
                <w:lang w:eastAsia="ko-KR"/>
              </w:rPr>
              <w:t>F</w:t>
            </w:r>
            <w:r>
              <w:rPr>
                <w:rFonts w:eastAsia="맑은 고딕"/>
                <w:sz w:val="20"/>
                <w:szCs w:val="20"/>
                <w:lang w:eastAsia="ko-KR"/>
              </w:rPr>
              <w:t xml:space="preserve">or 2-bit SRS TPC command indicator, we think that it is based on </w:t>
            </w:r>
            <w:r w:rsidR="003842DA">
              <w:rPr>
                <w:rFonts w:eastAsia="맑은 고딕"/>
                <w:sz w:val="20"/>
                <w:szCs w:val="20"/>
                <w:lang w:eastAsia="ko-KR"/>
              </w:rPr>
              <w:t xml:space="preserve">separate </w:t>
            </w:r>
            <w:r>
              <w:rPr>
                <w:rFonts w:eastAsia="맑은 고딕"/>
                <w:sz w:val="20"/>
                <w:szCs w:val="20"/>
                <w:lang w:eastAsia="ko-KR"/>
              </w:rPr>
              <w:t xml:space="preserve">parameters (e.g., UE capability and/or RRC parameter) </w:t>
            </w:r>
            <w:r w:rsidR="003842DA">
              <w:rPr>
                <w:rFonts w:eastAsia="맑은 고딕"/>
                <w:sz w:val="20"/>
                <w:szCs w:val="20"/>
                <w:lang w:eastAsia="ko-KR"/>
              </w:rPr>
              <w:t>from the parameters for 1-bit SRS CLPC indicator above.</w:t>
            </w:r>
          </w:p>
          <w:p w14:paraId="13B27F58" w14:textId="77777777" w:rsidR="00AD2E02" w:rsidRDefault="00AD2E02">
            <w:pPr>
              <w:pStyle w:val="af0"/>
              <w:ind w:left="62"/>
              <w:rPr>
                <w:rFonts w:eastAsia="맑은 고딕"/>
                <w:sz w:val="20"/>
                <w:szCs w:val="20"/>
                <w:lang w:eastAsia="ko-KR"/>
              </w:rPr>
            </w:pPr>
          </w:p>
          <w:p w14:paraId="41CC02C6" w14:textId="77777777" w:rsidR="00E74107" w:rsidRDefault="00E74107">
            <w:pPr>
              <w:pStyle w:val="af0"/>
              <w:ind w:left="62"/>
              <w:rPr>
                <w:rFonts w:eastAsia="맑은 고딕"/>
                <w:sz w:val="20"/>
                <w:szCs w:val="20"/>
                <w:lang w:eastAsia="ko-KR"/>
              </w:rPr>
            </w:pPr>
            <w:r>
              <w:rPr>
                <w:rFonts w:eastAsia="맑은 고딕"/>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0"/>
              <w:ind w:left="62"/>
              <w:rPr>
                <w:rFonts w:eastAsia="맑은 고딕"/>
                <w:sz w:val="20"/>
                <w:szCs w:val="20"/>
                <w:lang w:eastAsia="ko-KR"/>
              </w:rPr>
            </w:pPr>
            <w:r>
              <w:rPr>
                <w:rFonts w:eastAsia="맑은 고딕"/>
                <w:sz w:val="20"/>
                <w:szCs w:val="20"/>
                <w:lang w:eastAsia="ko-KR"/>
              </w:rPr>
              <w:t>Hence, we would like to suggest one more time as we mentioned in the previous round.</w:t>
            </w:r>
          </w:p>
          <w:p w14:paraId="0D5B81BE" w14:textId="77777777" w:rsidR="00E74107" w:rsidRDefault="00E74107">
            <w:pPr>
              <w:pStyle w:val="af0"/>
              <w:ind w:left="62"/>
              <w:rPr>
                <w:rFonts w:eastAsia="맑은 고딕"/>
                <w:sz w:val="20"/>
                <w:szCs w:val="20"/>
                <w:lang w:eastAsia="ko-KR"/>
              </w:rPr>
            </w:pPr>
          </w:p>
          <w:p w14:paraId="0A8D11E5" w14:textId="77777777" w:rsidR="00E74107" w:rsidRDefault="00E74107" w:rsidP="00E74107">
            <w:pPr>
              <w:rPr>
                <w:rFonts w:eastAsia="DengXian"/>
                <w:sz w:val="20"/>
                <w:szCs w:val="20"/>
                <w:lang w:val="en-CA" w:eastAsia="zh-CN"/>
              </w:rPr>
            </w:pPr>
            <w:ins w:id="26"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27" w:name="OLE_LINK26"/>
            <w:r>
              <w:rPr>
                <w:rFonts w:eastAsia="DengXian"/>
                <w:sz w:val="20"/>
                <w:szCs w:val="20"/>
                <w:lang w:val="en-CA" w:eastAsia="zh-CN"/>
              </w:rPr>
              <w:t xml:space="preserve"> DCI format 1_1 to indicate TPC command for SRS </w:t>
            </w:r>
            <w:bookmarkEnd w:id="27"/>
            <w:r>
              <w:rPr>
                <w:rFonts w:eastAsia="DengXian"/>
                <w:sz w:val="20"/>
                <w:szCs w:val="20"/>
                <w:lang w:val="en-CA" w:eastAsia="zh-CN"/>
              </w:rPr>
              <w:t>CLPC adjustment state</w:t>
            </w:r>
            <w:ins w:id="28" w:author="作者" w:date="2024-08-13T16:06:00Z">
              <w:r>
                <w:rPr>
                  <w:rFonts w:eastAsia="DengXian"/>
                  <w:sz w:val="20"/>
                  <w:szCs w:val="20"/>
                  <w:lang w:val="en-CA" w:eastAsia="zh-CN"/>
                </w:rPr>
                <w:t>(</w:t>
              </w:r>
            </w:ins>
            <w:r>
              <w:rPr>
                <w:rFonts w:eastAsia="DengXian"/>
                <w:sz w:val="20"/>
                <w:szCs w:val="20"/>
                <w:lang w:val="en-CA" w:eastAsia="zh-CN"/>
              </w:rPr>
              <w:t>s</w:t>
            </w:r>
            <w:ins w:id="29" w:author="作者" w:date="2024-08-13T16:06:00Z">
              <w:r>
                <w:rPr>
                  <w:rFonts w:eastAsia="DengXian"/>
                  <w:sz w:val="20"/>
                  <w:szCs w:val="20"/>
                  <w:lang w:val="en-CA" w:eastAsia="zh-CN"/>
                </w:rPr>
                <w:t>)</w:t>
              </w:r>
            </w:ins>
            <w:del w:id="30" w:author="作者" w:date="2024-08-13T16:06:00Z">
              <w:r>
                <w:rPr>
                  <w:rFonts w:eastAsia="DengXian"/>
                  <w:sz w:val="20"/>
                  <w:szCs w:val="20"/>
                  <w:lang w:val="en-CA" w:eastAsia="zh-CN"/>
                </w:rPr>
                <w:delText xml:space="preserve"> </w:delText>
              </w:r>
            </w:del>
            <w:bookmarkStart w:id="31" w:name="OLE_LINK27"/>
            <w:ins w:id="32" w:author="作者" w:date="2024-08-13T16:07:00Z">
              <w:r>
                <w:rPr>
                  <w:rFonts w:eastAsia="DengXian"/>
                  <w:sz w:val="20"/>
                  <w:szCs w:val="20"/>
                  <w:lang w:val="en-CA" w:eastAsia="zh-CN"/>
                </w:rPr>
                <w:t>separate from PUSCH</w:t>
              </w:r>
            </w:ins>
            <w:bookmarkEnd w:id="31"/>
            <w:del w:id="33"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34" w:author="作者" w:date="2024-08-13T16:06:00Z">
              <w:r>
                <w:rPr>
                  <w:rFonts w:eastAsia="DengXian"/>
                  <w:sz w:val="20"/>
                  <w:szCs w:val="20"/>
                  <w:lang w:val="en-CA" w:eastAsia="zh-CN"/>
                </w:rPr>
                <w:t>, where</w:t>
              </w:r>
            </w:ins>
            <w:del w:id="35" w:author="作者" w:date="2024-08-13T16:06:00Z">
              <w:r>
                <w:rPr>
                  <w:rFonts w:eastAsia="DengXian"/>
                  <w:sz w:val="20"/>
                  <w:szCs w:val="20"/>
                  <w:lang w:val="en-CA" w:eastAsia="zh-CN"/>
                </w:rPr>
                <w:delText>.</w:delText>
              </w:r>
            </w:del>
          </w:p>
          <w:p w14:paraId="13E2D622" w14:textId="77777777" w:rsidR="00E74107" w:rsidRDefault="00E74107" w:rsidP="00E74107">
            <w:pPr>
              <w:pStyle w:val="af0"/>
              <w:numPr>
                <w:ilvl w:val="1"/>
                <w:numId w:val="8"/>
              </w:numPr>
              <w:rPr>
                <w:ins w:id="36" w:author="作者" w:date="2024-08-13T16:06:00Z"/>
                <w:rFonts w:eastAsia="DengXian"/>
                <w:sz w:val="20"/>
                <w:szCs w:val="20"/>
                <w:lang w:val="en-CA" w:eastAsia="zh-CN"/>
              </w:rPr>
            </w:pPr>
            <w:del w:id="37" w:author="作者" w:date="2024-08-13T16:06:00Z">
              <w:r>
                <w:rPr>
                  <w:rFonts w:eastAsia="DengXian"/>
                  <w:sz w:val="20"/>
                  <w:szCs w:val="20"/>
                  <w:lang w:val="en-CA" w:eastAsia="zh-CN"/>
                </w:rPr>
                <w:delText>These two DCI fields are</w:delText>
              </w:r>
            </w:del>
            <w:ins w:id="38"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0"/>
              <w:numPr>
                <w:ilvl w:val="1"/>
                <w:numId w:val="8"/>
              </w:numPr>
              <w:rPr>
                <w:rFonts w:eastAsia="DengXian"/>
                <w:sz w:val="20"/>
                <w:szCs w:val="20"/>
                <w:lang w:val="en-CA" w:eastAsia="zh-CN"/>
              </w:rPr>
            </w:pPr>
            <w:ins w:id="39" w:author="作者" w:date="2024-08-13T16:06:00Z">
              <w:r>
                <w:rPr>
                  <w:rFonts w:eastAsia="DengXian"/>
                  <w:sz w:val="20"/>
                  <w:szCs w:val="20"/>
                  <w:lang w:val="en-CA" w:eastAsia="zh-CN"/>
                </w:rPr>
                <w:t xml:space="preserve">2-bit TPC command indicator is present for scheduled CC/BWP </w:t>
              </w:r>
            </w:ins>
            <w:ins w:id="40" w:author="作者" w:date="2024-08-13T16:17:00Z">
              <w:r>
                <w:rPr>
                  <w:rFonts w:eastAsia="DengXian"/>
                  <w:sz w:val="20"/>
                  <w:szCs w:val="20"/>
                  <w:lang w:val="en-CA" w:eastAsia="zh-CN"/>
                </w:rPr>
                <w:t>if</w:t>
              </w:r>
            </w:ins>
            <w:ins w:id="41" w:author="作者" w:date="2024-08-13T16:09:00Z">
              <w:r>
                <w:rPr>
                  <w:rFonts w:eastAsia="DengXian"/>
                  <w:sz w:val="20"/>
                  <w:szCs w:val="20"/>
                  <w:lang w:val="en-CA" w:eastAsia="zh-CN"/>
                </w:rPr>
                <w:t xml:space="preserve"> the UE reports</w:t>
              </w:r>
            </w:ins>
            <w:ins w:id="42" w:author="作者" w:date="2024-08-13T16:07:00Z">
              <w:r>
                <w:rPr>
                  <w:rFonts w:eastAsia="DengXian"/>
                  <w:sz w:val="20"/>
                  <w:szCs w:val="20"/>
                  <w:lang w:val="en-CA" w:eastAsia="zh-CN"/>
                </w:rPr>
                <w:t xml:space="preserve"> a</w:t>
              </w:r>
            </w:ins>
            <w:ins w:id="43" w:author="作者" w:date="2024-08-13T16:08:00Z">
              <w:r>
                <w:rPr>
                  <w:rFonts w:eastAsia="DengXian"/>
                  <w:sz w:val="20"/>
                  <w:szCs w:val="20"/>
                  <w:lang w:val="en-CA" w:eastAsia="zh-CN"/>
                </w:rPr>
                <w:t xml:space="preserve"> separate </w:t>
              </w:r>
            </w:ins>
            <w:ins w:id="44" w:author="作者" w:date="2024-08-13T16:07:00Z">
              <w:r>
                <w:rPr>
                  <w:rFonts w:eastAsia="DengXian"/>
                  <w:sz w:val="20"/>
                  <w:szCs w:val="20"/>
                  <w:lang w:val="en-CA" w:eastAsia="zh-CN"/>
                </w:rPr>
                <w:t>UE capability</w:t>
              </w:r>
            </w:ins>
            <w:ins w:id="45"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46"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47" w:author="作者" w:date="2024-08-13T16:18:00Z">
              <w:r>
                <w:rPr>
                  <w:rFonts w:eastAsia="DengXian"/>
                  <w:sz w:val="20"/>
                  <w:szCs w:val="20"/>
                  <w:lang w:val="en-CA" w:eastAsia="zh-CN"/>
                </w:rPr>
                <w:t xml:space="preserve">(which is different with an RRC parameter for two separate SRS CLPC adjustment states) </w:t>
              </w:r>
            </w:ins>
            <w:ins w:id="48" w:author="作者" w:date="2024-08-13T16:17:00Z">
              <w:r>
                <w:rPr>
                  <w:rFonts w:eastAsia="DengXian"/>
                  <w:sz w:val="20"/>
                  <w:szCs w:val="20"/>
                  <w:lang w:val="en-CA" w:eastAsia="zh-CN"/>
                </w:rPr>
                <w:t>is configured</w:t>
              </w:r>
            </w:ins>
            <w:ins w:id="49" w:author="作者" w:date="2024-08-13T16:09:00Z">
              <w:r>
                <w:rPr>
                  <w:rFonts w:eastAsia="DengXian"/>
                  <w:sz w:val="20"/>
                  <w:szCs w:val="20"/>
                  <w:lang w:eastAsia="zh-CN"/>
                </w:rPr>
                <w:t>.</w:t>
              </w:r>
            </w:ins>
          </w:p>
          <w:p w14:paraId="52A9C986" w14:textId="77777777" w:rsidR="00E74107" w:rsidRDefault="00E74107">
            <w:pPr>
              <w:pStyle w:val="af0"/>
              <w:ind w:left="62"/>
              <w:rPr>
                <w:rFonts w:eastAsia="맑은 고딕"/>
                <w:sz w:val="20"/>
                <w:szCs w:val="20"/>
                <w:lang w:val="en-CA" w:eastAsia="ko-KR"/>
              </w:rPr>
            </w:pPr>
          </w:p>
          <w:p w14:paraId="3EBD70E0" w14:textId="47BF2B72" w:rsidR="007B1C44" w:rsidRPr="00604D27" w:rsidRDefault="007B1C44">
            <w:pPr>
              <w:pStyle w:val="af0"/>
              <w:ind w:left="62"/>
              <w:rPr>
                <w:rFonts w:eastAsia="맑은 고딕"/>
                <w:color w:val="0000FF"/>
                <w:sz w:val="20"/>
                <w:szCs w:val="20"/>
                <w:lang w:eastAsia="ko-KR"/>
              </w:rPr>
            </w:pPr>
            <w:r w:rsidRPr="00604D27">
              <w:rPr>
                <w:rFonts w:eastAsia="맑은 고딕"/>
                <w:color w:val="0000FF"/>
                <w:sz w:val="20"/>
                <w:szCs w:val="20"/>
                <w:lang w:val="en-CA" w:eastAsia="ko-KR"/>
              </w:rPr>
              <w:t xml:space="preserve">Mod: I understand your intention here is to use this new feature of DCI format 1_1 for </w:t>
            </w:r>
            <w:r w:rsidR="00604D27" w:rsidRPr="00604D27">
              <w:rPr>
                <w:rFonts w:eastAsia="맑은 고딕"/>
                <w:color w:val="0000FF"/>
                <w:sz w:val="20"/>
                <w:szCs w:val="20"/>
                <w:lang w:val="en-CA" w:eastAsia="ko-KR"/>
              </w:rPr>
              <w:t>all the rel-19 UEs who is configured with either single separate SRS CLPC or two separate SRS CLPC adjustment states.</w:t>
            </w:r>
            <w:r w:rsidRPr="00604D27">
              <w:rPr>
                <w:rFonts w:eastAsia="맑은 고딕"/>
                <w:color w:val="0000FF"/>
                <w:sz w:val="20"/>
                <w:szCs w:val="20"/>
                <w:lang w:eastAsia="ko-KR"/>
              </w:rPr>
              <w:t xml:space="preserve"> </w:t>
            </w:r>
            <w:r w:rsidR="00604D27" w:rsidRPr="00604D27">
              <w:rPr>
                <w:rFonts w:eastAsia="맑은 고딕"/>
                <w:color w:val="0000FF"/>
                <w:sz w:val="20"/>
                <w:szCs w:val="20"/>
                <w:lang w:eastAsia="ko-KR"/>
              </w:rPr>
              <w:t xml:space="preserve"> Similarly to 2.2, I guess here we also need to discuss the applicable case of this new feature (if agreed)</w:t>
            </w:r>
          </w:p>
          <w:p w14:paraId="56A50607" w14:textId="77777777" w:rsidR="00E74107" w:rsidRPr="00AD2E02" w:rsidRDefault="00E74107">
            <w:pPr>
              <w:pStyle w:val="af0"/>
              <w:ind w:left="62"/>
              <w:rPr>
                <w:rFonts w:eastAsia="맑은 고딕"/>
                <w:sz w:val="20"/>
                <w:szCs w:val="20"/>
                <w:lang w:eastAsia="ko-KR"/>
              </w:rPr>
            </w:pPr>
          </w:p>
          <w:p w14:paraId="13E5156F" w14:textId="77777777" w:rsidR="00E74107" w:rsidRDefault="00E74107" w:rsidP="00E74107">
            <w:pPr>
              <w:rPr>
                <w:rFonts w:eastAsia="맑은 고딕"/>
                <w:sz w:val="20"/>
                <w:szCs w:val="20"/>
                <w:lang w:val="en-CA" w:eastAsia="ko-KR"/>
              </w:rPr>
            </w:pPr>
            <w:r>
              <w:rPr>
                <w:rFonts w:eastAsia="맑은 고딕" w:hint="eastAsia"/>
                <w:b/>
                <w:bCs/>
                <w:sz w:val="20"/>
                <w:szCs w:val="20"/>
                <w:u w:val="single"/>
                <w:lang w:val="en-CA" w:eastAsia="ko-KR"/>
              </w:rPr>
              <w:lastRenderedPageBreak/>
              <w:t>P</w:t>
            </w:r>
            <w:r>
              <w:rPr>
                <w:rFonts w:eastAsia="맑은 고딕"/>
                <w:b/>
                <w:bCs/>
                <w:sz w:val="20"/>
                <w:szCs w:val="20"/>
                <w:u w:val="single"/>
                <w:lang w:val="en-CA" w:eastAsia="ko-KR"/>
              </w:rPr>
              <w:t>roposal 2.2.</w:t>
            </w:r>
            <w:r>
              <w:rPr>
                <w:rFonts w:eastAsia="맑은 고딕"/>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맑은 고딕"/>
                <w:sz w:val="20"/>
                <w:szCs w:val="20"/>
                <w:lang w:val="en-CA" w:eastAsia="ko-KR"/>
              </w:rPr>
            </w:pPr>
          </w:p>
          <w:p w14:paraId="3BB5B24A" w14:textId="77777777"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2.3.</w:t>
            </w:r>
            <w:r>
              <w:rPr>
                <w:rFonts w:eastAsia="맑은 고딕"/>
                <w:sz w:val="20"/>
                <w:szCs w:val="20"/>
                <w:lang w:val="en-CA" w:eastAsia="ko-KR"/>
              </w:rPr>
              <w:t xml:space="preserve"> We are fine to study.</w:t>
            </w:r>
          </w:p>
          <w:p w14:paraId="4485945A" w14:textId="77777777" w:rsidR="00AD2E02" w:rsidRPr="00E74107" w:rsidRDefault="00AD2E02">
            <w:pPr>
              <w:pStyle w:val="af0"/>
              <w:ind w:left="62"/>
              <w:rPr>
                <w:rFonts w:eastAsia="맑은 고딕"/>
                <w:b/>
                <w:sz w:val="20"/>
                <w:szCs w:val="20"/>
                <w:lang w:val="en-CA" w:eastAsia="ko-KR"/>
              </w:rPr>
            </w:pPr>
          </w:p>
          <w:p w14:paraId="539927DF" w14:textId="77777777"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2.4.</w:t>
            </w:r>
            <w:r>
              <w:rPr>
                <w:rFonts w:eastAsia="맑은 고딕"/>
                <w:sz w:val="20"/>
                <w:szCs w:val="20"/>
                <w:lang w:val="en-CA" w:eastAsia="ko-KR"/>
              </w:rPr>
              <w:t xml:space="preserve"> We are fine to study.</w:t>
            </w:r>
          </w:p>
          <w:p w14:paraId="359B746C" w14:textId="77777777" w:rsidR="00AD2E02" w:rsidRDefault="00AD2E02">
            <w:pPr>
              <w:pStyle w:val="af0"/>
              <w:ind w:left="62"/>
              <w:rPr>
                <w:rFonts w:eastAsia="맑은 고딕"/>
                <w:b/>
                <w:sz w:val="20"/>
                <w:szCs w:val="20"/>
                <w:lang w:val="en-CA" w:eastAsia="ko-KR"/>
              </w:rPr>
            </w:pPr>
          </w:p>
          <w:p w14:paraId="27CE27FB" w14:textId="77777777" w:rsidR="00AD2E02" w:rsidRPr="00AD2E02" w:rsidRDefault="00E74107" w:rsidP="00E74107">
            <w:pPr>
              <w:rPr>
                <w:rFonts w:eastAsia="맑은 고딕"/>
                <w:sz w:val="20"/>
                <w:szCs w:val="20"/>
                <w:lang w:eastAsia="ko-KR"/>
              </w:rPr>
            </w:pPr>
            <w:r>
              <w:rPr>
                <w:rFonts w:eastAsia="맑은 고딕"/>
                <w:b/>
                <w:bCs/>
                <w:sz w:val="20"/>
                <w:szCs w:val="20"/>
                <w:u w:val="single"/>
                <w:lang w:val="en-CA" w:eastAsia="ko-KR"/>
              </w:rPr>
              <w:t>Proposal 2.5.</w:t>
            </w:r>
            <w:r>
              <w:rPr>
                <w:rFonts w:eastAsia="맑은 고딕"/>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50" w:name="OLE_LINK36"/>
            <w:r w:rsidRPr="004C476D">
              <w:rPr>
                <w:rFonts w:eastAsia="DengXian"/>
                <w:sz w:val="20"/>
                <w:szCs w:val="20"/>
                <w:lang w:eastAsia="zh-CN"/>
              </w:rPr>
              <w:t>asymmetric DL/UL scenario</w:t>
            </w:r>
            <w:bookmarkEnd w:id="5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5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5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af0"/>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0"/>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0"/>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af0"/>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proofErr w:type="spellStart"/>
            <w:r>
              <w:rPr>
                <w:sz w:val="20"/>
                <w:szCs w:val="20"/>
              </w:rPr>
              <w:t>Tejas</w:t>
            </w:r>
            <w:proofErr w:type="spellEnd"/>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to any rel-19 UE, including UL mTRP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w:t>
            </w:r>
            <w:r>
              <w:rPr>
                <w:rFonts w:eastAsia="DengXian"/>
                <w:sz w:val="20"/>
                <w:szCs w:val="20"/>
                <w:lang w:val="en-CA" w:eastAsia="zh-CN"/>
              </w:rPr>
              <w:t>Support</w:t>
            </w:r>
            <w:r>
              <w:rPr>
                <w:rFonts w:eastAsia="DengXian"/>
                <w:sz w:val="20"/>
                <w:szCs w:val="20"/>
                <w:lang w:val="en-CA" w:eastAsia="zh-CN"/>
              </w:rPr>
              <w: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w:t>
            </w:r>
            <w:r>
              <w:rPr>
                <w:rFonts w:eastAsia="DengXian"/>
                <w:sz w:val="20"/>
                <w:szCs w:val="20"/>
                <w:lang w:val="en-CA" w:eastAsia="zh-CN"/>
              </w:rPr>
              <w:t>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Pr>
                <w:rFonts w:eastAsia="DengXian"/>
                <w:b/>
                <w:bCs/>
                <w:sz w:val="20"/>
                <w:szCs w:val="20"/>
                <w:lang w:val="en-CA" w:eastAsia="zh-CN"/>
              </w:rPr>
              <w:t>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Pr>
                <w:rFonts w:eastAsia="DengXian"/>
                <w:b/>
                <w:bCs/>
                <w:sz w:val="20"/>
                <w:szCs w:val="20"/>
                <w:lang w:val="en-CA" w:eastAsia="zh-CN"/>
              </w:rPr>
              <w:t>4</w:t>
            </w:r>
            <w:r>
              <w:rPr>
                <w:rFonts w:eastAsia="DengXian"/>
                <w:sz w:val="20"/>
                <w:szCs w:val="20"/>
                <w:lang w:val="en-CA" w:eastAsia="zh-CN"/>
              </w:rPr>
              <w:t xml:space="preserve"> Support. </w:t>
            </w:r>
          </w:p>
          <w:p w14:paraId="5D8CB6B6" w14:textId="7D07861E" w:rsidR="00B8082E" w:rsidRDefault="00B8082E" w:rsidP="00B8082E">
            <w:pPr>
              <w:rPr>
                <w:rFonts w:eastAsia="SimSun" w:hint="eastAsia"/>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Pr>
                <w:rFonts w:eastAsia="DengXian"/>
                <w:b/>
                <w:bCs/>
                <w:sz w:val="20"/>
                <w:szCs w:val="20"/>
                <w:lang w:val="en-CA" w:eastAsia="zh-CN"/>
              </w:rPr>
              <w:t>5</w:t>
            </w:r>
            <w:r>
              <w:rPr>
                <w:rFonts w:eastAsia="DengXian"/>
                <w:sz w:val="20"/>
                <w:szCs w:val="20"/>
                <w:lang w:val="en-CA" w:eastAsia="zh-CN"/>
              </w:rPr>
              <w:t xml:space="preserve"> Support. </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ac"/>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lastRenderedPageBreak/>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af0"/>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SimSun" w:cs="Times New Roman" w:hint="eastAsia"/>
                <w:i/>
                <w:iCs/>
                <w:sz w:val="20"/>
                <w:szCs w:val="20"/>
                <w:vertAlign w:val="subscript"/>
                <w:lang w:eastAsia="zh-CN"/>
              </w:rPr>
              <w:t>e</w:t>
            </w:r>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lastRenderedPageBreak/>
              <w:drawing>
                <wp:inline distT="0" distB="0" distL="0" distR="0" wp14:anchorId="5760912D" wp14:editId="6B7CDA0D">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Te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0"/>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asymmetric DL sTRP/UL mTRP scenario</w:t>
            </w:r>
            <w:r>
              <w:rPr>
                <w:rFonts w:eastAsia="SimSun"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0"/>
        <w:numPr>
          <w:ilvl w:val="0"/>
          <w:numId w:val="16"/>
        </w:numPr>
      </w:pPr>
      <w:r>
        <w:t>R1-2405873</w:t>
      </w:r>
      <w:r>
        <w:tab/>
        <w:t>Enhancements for asymmetric DL sTRP/UL mTRP scenarios</w:t>
      </w:r>
      <w:r>
        <w:tab/>
        <w:t>Huawei, HiSilicon</w:t>
      </w:r>
    </w:p>
    <w:p w14:paraId="6C568B5F" w14:textId="77777777" w:rsidR="00CF271E" w:rsidRDefault="005A04FC">
      <w:pPr>
        <w:pStyle w:val="af0"/>
        <w:numPr>
          <w:ilvl w:val="0"/>
          <w:numId w:val="16"/>
        </w:numPr>
      </w:pPr>
      <w:r>
        <w:t>R1-2405878</w:t>
      </w:r>
      <w:r>
        <w:tab/>
        <w:t>On Rel-19 Asymmetric mTRP Operation</w:t>
      </w:r>
      <w:r>
        <w:tab/>
      </w:r>
      <w:proofErr w:type="spellStart"/>
      <w:r>
        <w:t>InterDigital</w:t>
      </w:r>
      <w:proofErr w:type="spellEnd"/>
      <w:r>
        <w:t>, Inc.</w:t>
      </w:r>
    </w:p>
    <w:p w14:paraId="4F2D99EC" w14:textId="77777777" w:rsidR="00CF271E" w:rsidRDefault="005A04FC">
      <w:pPr>
        <w:pStyle w:val="af0"/>
        <w:numPr>
          <w:ilvl w:val="0"/>
          <w:numId w:val="16"/>
        </w:numPr>
      </w:pPr>
      <w:r>
        <w:t>R1-2405890</w:t>
      </w:r>
      <w:r>
        <w:tab/>
        <w:t>Enhancement for asymmetric DL sTRP/UL mTRP scenarios</w:t>
      </w:r>
      <w:r>
        <w:tab/>
        <w:t>MediaTek Inc.</w:t>
      </w:r>
    </w:p>
    <w:p w14:paraId="2376C77B" w14:textId="77777777" w:rsidR="00CF271E" w:rsidRDefault="005A04FC">
      <w:pPr>
        <w:pStyle w:val="af0"/>
        <w:numPr>
          <w:ilvl w:val="0"/>
          <w:numId w:val="16"/>
        </w:numPr>
      </w:pPr>
      <w:r>
        <w:t>R1-2405906</w:t>
      </w:r>
      <w:r>
        <w:tab/>
        <w:t>Enhancements for asymmetric DL sTRP/UL mTRP scenarios</w:t>
      </w:r>
      <w:r>
        <w:tab/>
      </w:r>
      <w:proofErr w:type="spellStart"/>
      <w:r>
        <w:t>Spreadtrum</w:t>
      </w:r>
      <w:proofErr w:type="spellEnd"/>
      <w:r>
        <w:t xml:space="preserve"> Communications</w:t>
      </w:r>
    </w:p>
    <w:p w14:paraId="1ECF7DDF" w14:textId="77777777" w:rsidR="00CF271E" w:rsidRDefault="005A04FC">
      <w:pPr>
        <w:pStyle w:val="af0"/>
        <w:numPr>
          <w:ilvl w:val="0"/>
          <w:numId w:val="16"/>
        </w:numPr>
      </w:pPr>
      <w:r>
        <w:t>R1-2405937</w:t>
      </w:r>
      <w:r>
        <w:tab/>
        <w:t>Enhancement for asymmetric DL sTRP/UL mTRP scenarios</w:t>
      </w:r>
      <w:r>
        <w:tab/>
      </w:r>
      <w:proofErr w:type="spellStart"/>
      <w:r>
        <w:t>Tejas</w:t>
      </w:r>
      <w:proofErr w:type="spellEnd"/>
      <w:r>
        <w:t xml:space="preserve"> Networks Limited</w:t>
      </w:r>
    </w:p>
    <w:p w14:paraId="191C92BB" w14:textId="77777777" w:rsidR="00CF271E" w:rsidRDefault="005A04FC">
      <w:pPr>
        <w:pStyle w:val="af0"/>
        <w:numPr>
          <w:ilvl w:val="0"/>
          <w:numId w:val="16"/>
        </w:numPr>
      </w:pPr>
      <w:r>
        <w:t>R1-2405983</w:t>
      </w:r>
      <w:r>
        <w:tab/>
        <w:t>Discussion on enhancement for asymmetric DL sTRP/UL mTRP scenarios</w:t>
      </w:r>
      <w:r>
        <w:tab/>
        <w:t>CMCC</w:t>
      </w:r>
    </w:p>
    <w:p w14:paraId="7835C4AE" w14:textId="77777777" w:rsidR="00CF271E" w:rsidRDefault="005A04FC">
      <w:pPr>
        <w:pStyle w:val="af0"/>
        <w:numPr>
          <w:ilvl w:val="0"/>
          <w:numId w:val="16"/>
        </w:numPr>
      </w:pPr>
      <w:r>
        <w:t>R1-2406026</w:t>
      </w:r>
      <w:r>
        <w:tab/>
        <w:t>Enhancements for asymmetric DL/UL scenarios</w:t>
      </w:r>
      <w:r>
        <w:tab/>
        <w:t>Intel Corporation</w:t>
      </w:r>
    </w:p>
    <w:p w14:paraId="41C7429E" w14:textId="77777777" w:rsidR="00CF271E" w:rsidRDefault="005A04FC">
      <w:pPr>
        <w:pStyle w:val="af0"/>
        <w:numPr>
          <w:ilvl w:val="0"/>
          <w:numId w:val="16"/>
        </w:numPr>
      </w:pPr>
      <w:r>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af0"/>
        <w:numPr>
          <w:ilvl w:val="0"/>
          <w:numId w:val="16"/>
        </w:numPr>
      </w:pPr>
      <w:r>
        <w:lastRenderedPageBreak/>
        <w:t>R1-2406086</w:t>
      </w:r>
      <w:r>
        <w:tab/>
        <w:t>Discussion on enhancements for asymmetric DL sTRP/UL mTRP scenarios</w:t>
      </w:r>
      <w:r>
        <w:tab/>
        <w:t>China Telecom, ZTE</w:t>
      </w:r>
    </w:p>
    <w:p w14:paraId="638347F7" w14:textId="77777777" w:rsidR="00CF271E" w:rsidRDefault="005A04FC">
      <w:pPr>
        <w:pStyle w:val="af0"/>
        <w:numPr>
          <w:ilvl w:val="0"/>
          <w:numId w:val="16"/>
        </w:numPr>
      </w:pPr>
      <w:r>
        <w:t>R1-2406180</w:t>
      </w:r>
      <w:r>
        <w:tab/>
        <w:t>Discussion on asymmetric DL sTRP/UL mTRP scenarios</w:t>
      </w:r>
      <w:r>
        <w:tab/>
        <w:t>vivo</w:t>
      </w:r>
    </w:p>
    <w:p w14:paraId="3E6CCD96" w14:textId="77777777" w:rsidR="00CF271E" w:rsidRDefault="005A04FC">
      <w:pPr>
        <w:pStyle w:val="af0"/>
        <w:numPr>
          <w:ilvl w:val="0"/>
          <w:numId w:val="16"/>
        </w:numPr>
      </w:pPr>
      <w:r>
        <w:t>R1-2406263</w:t>
      </w:r>
      <w:r>
        <w:tab/>
        <w:t>Enhancements on asymmetric DL sTRP/UL mTRP scenarios</w:t>
      </w:r>
      <w:r>
        <w:tab/>
        <w:t>OPPO</w:t>
      </w:r>
    </w:p>
    <w:p w14:paraId="6F17BAD2" w14:textId="77777777" w:rsidR="00CF271E" w:rsidRDefault="005A04FC">
      <w:pPr>
        <w:pStyle w:val="af0"/>
        <w:numPr>
          <w:ilvl w:val="0"/>
          <w:numId w:val="16"/>
        </w:numPr>
      </w:pPr>
      <w:r>
        <w:t>R1-2406265</w:t>
      </w:r>
      <w:r>
        <w:tab/>
        <w:t>Discussion on asymmetric DL sTRP/UL mTRP scenarios</w:t>
      </w:r>
      <w:r>
        <w:tab/>
        <w:t>TCL</w:t>
      </w:r>
    </w:p>
    <w:p w14:paraId="7C67077E" w14:textId="77777777" w:rsidR="00CF271E" w:rsidRDefault="005A04FC">
      <w:pPr>
        <w:pStyle w:val="af0"/>
        <w:numPr>
          <w:ilvl w:val="0"/>
          <w:numId w:val="16"/>
        </w:numPr>
      </w:pPr>
      <w:r>
        <w:t>R1-2406282</w:t>
      </w:r>
      <w:r>
        <w:tab/>
        <w:t>Discussion on enhancement for asymmetric DL sTRP/UL mTRP scenarios</w:t>
      </w:r>
      <w:r>
        <w:tab/>
        <w:t>Xiaomi</w:t>
      </w:r>
    </w:p>
    <w:p w14:paraId="17975AB2" w14:textId="77777777" w:rsidR="00CF271E" w:rsidRDefault="005A04FC">
      <w:pPr>
        <w:pStyle w:val="af0"/>
        <w:numPr>
          <w:ilvl w:val="0"/>
          <w:numId w:val="16"/>
        </w:numPr>
      </w:pPr>
      <w:r>
        <w:t>R1-2406313</w:t>
      </w:r>
      <w:r>
        <w:tab/>
        <w:t>Discussion on UL-only mTRP operation</w:t>
      </w:r>
      <w:r>
        <w:tab/>
        <w:t>Fujitsu</w:t>
      </w:r>
    </w:p>
    <w:p w14:paraId="247F2420" w14:textId="77777777" w:rsidR="00CF271E" w:rsidRDefault="005A04FC">
      <w:pPr>
        <w:pStyle w:val="af0"/>
        <w:numPr>
          <w:ilvl w:val="0"/>
          <w:numId w:val="16"/>
        </w:numPr>
      </w:pPr>
      <w:r>
        <w:t>R1-2406366</w:t>
      </w:r>
      <w:r>
        <w:tab/>
        <w:t>On asymmetric DL sTRP/UL mTRP scenarios</w:t>
      </w:r>
      <w:r>
        <w:tab/>
        <w:t>CATT</w:t>
      </w:r>
    </w:p>
    <w:p w14:paraId="3C99A1B6" w14:textId="77777777" w:rsidR="00CF271E" w:rsidRDefault="005A04FC">
      <w:pPr>
        <w:pStyle w:val="af0"/>
        <w:numPr>
          <w:ilvl w:val="0"/>
          <w:numId w:val="16"/>
        </w:numPr>
      </w:pPr>
      <w:r>
        <w:t>R1-2406455</w:t>
      </w:r>
      <w:r>
        <w:tab/>
        <w:t>"Enhancement for Asymmetric DL sTRP/UL mTRP Scenarios</w:t>
      </w:r>
      <w:r>
        <w:tab/>
        <w:t>"</w:t>
      </w:r>
      <w:r>
        <w:tab/>
        <w:t>Panasonic</w:t>
      </w:r>
    </w:p>
    <w:p w14:paraId="6CDDA4E5" w14:textId="77777777" w:rsidR="00CF271E" w:rsidRDefault="005A04FC">
      <w:pPr>
        <w:pStyle w:val="af0"/>
        <w:numPr>
          <w:ilvl w:val="0"/>
          <w:numId w:val="16"/>
        </w:numPr>
      </w:pPr>
      <w:r>
        <w:t>R1-2406469</w:t>
      </w:r>
      <w:r>
        <w:tab/>
        <w:t>Enhancement for asymmetric DL sTRP/UL mTRP scenarios</w:t>
      </w:r>
      <w:r>
        <w:tab/>
        <w:t>Sony</w:t>
      </w:r>
    </w:p>
    <w:p w14:paraId="0E0BE6F8" w14:textId="77777777" w:rsidR="00CF271E" w:rsidRDefault="005A04FC">
      <w:pPr>
        <w:pStyle w:val="af0"/>
        <w:numPr>
          <w:ilvl w:val="0"/>
          <w:numId w:val="16"/>
        </w:numPr>
      </w:pPr>
      <w:r>
        <w:t>R1-2406524</w:t>
      </w:r>
      <w:r>
        <w:tab/>
        <w:t>Enhancement for asymmetric DL sTRP/UL mTRP scenarios</w:t>
      </w:r>
      <w:r>
        <w:tab/>
        <w:t>Lenovo</w:t>
      </w:r>
    </w:p>
    <w:p w14:paraId="79A882A5" w14:textId="77777777" w:rsidR="00CF271E" w:rsidRDefault="005A04FC">
      <w:pPr>
        <w:pStyle w:val="af0"/>
        <w:numPr>
          <w:ilvl w:val="0"/>
          <w:numId w:val="16"/>
        </w:numPr>
      </w:pPr>
      <w:r>
        <w:t>R1-2406544</w:t>
      </w:r>
      <w:r>
        <w:tab/>
        <w:t>Discussion on enhancements for asymmetric DL sTRP and UL mTRP scenarios</w:t>
      </w:r>
      <w:r>
        <w:tab/>
        <w:t>NEC</w:t>
      </w:r>
    </w:p>
    <w:p w14:paraId="50A8E9E1" w14:textId="77777777" w:rsidR="00CF271E" w:rsidRDefault="005A04FC">
      <w:pPr>
        <w:pStyle w:val="af0"/>
        <w:numPr>
          <w:ilvl w:val="0"/>
          <w:numId w:val="16"/>
        </w:numPr>
      </w:pPr>
      <w:r>
        <w:t>R1-2406647</w:t>
      </w:r>
      <w:r>
        <w:tab/>
        <w:t>Views on Rel-19 asymmetric DL sTRP/UL mTRP scenarios</w:t>
      </w:r>
      <w:r>
        <w:tab/>
        <w:t>Samsung</w:t>
      </w:r>
    </w:p>
    <w:p w14:paraId="7B2132FA" w14:textId="77777777" w:rsidR="00CF271E" w:rsidRDefault="005A04FC">
      <w:pPr>
        <w:pStyle w:val="af0"/>
        <w:numPr>
          <w:ilvl w:val="0"/>
          <w:numId w:val="16"/>
        </w:numPr>
      </w:pPr>
      <w:r>
        <w:t>R1-2406701</w:t>
      </w:r>
      <w:r>
        <w:tab/>
        <w:t>Discussion on enhancements for asymmetric DL sTRP/UL mTRP scenarios</w:t>
      </w:r>
      <w:r>
        <w:tab/>
      </w:r>
      <w:proofErr w:type="spellStart"/>
      <w:r>
        <w:t>Transsion</w:t>
      </w:r>
      <w:proofErr w:type="spellEnd"/>
      <w:r>
        <w:t xml:space="preserve"> Holdings</w:t>
      </w:r>
    </w:p>
    <w:p w14:paraId="43ADA3A5" w14:textId="77777777" w:rsidR="00CF271E" w:rsidRDefault="005A04FC">
      <w:pPr>
        <w:pStyle w:val="af0"/>
        <w:numPr>
          <w:ilvl w:val="0"/>
          <w:numId w:val="16"/>
        </w:numPr>
      </w:pPr>
      <w:r>
        <w:t>R1-2406724</w:t>
      </w:r>
      <w:r>
        <w:tab/>
        <w:t>Discussion on UL enhancement through asymmetric DL and UL</w:t>
      </w:r>
      <w:r>
        <w:tab/>
        <w:t>ETRI</w:t>
      </w:r>
    </w:p>
    <w:p w14:paraId="776BD079" w14:textId="77777777" w:rsidR="00CF271E" w:rsidRDefault="005A04FC">
      <w:pPr>
        <w:pStyle w:val="af0"/>
        <w:numPr>
          <w:ilvl w:val="0"/>
          <w:numId w:val="16"/>
        </w:numPr>
      </w:pPr>
      <w:r>
        <w:t>R1-2406748</w:t>
      </w:r>
      <w:r>
        <w:tab/>
        <w:t>Enhancement for asymmetric DL sTRP/UL mTRP scenarios</w:t>
      </w:r>
      <w:r>
        <w:tab/>
        <w:t>Nokia</w:t>
      </w:r>
    </w:p>
    <w:p w14:paraId="7E29A27F" w14:textId="77777777" w:rsidR="00CF271E" w:rsidRDefault="005A04FC">
      <w:pPr>
        <w:pStyle w:val="af0"/>
        <w:numPr>
          <w:ilvl w:val="0"/>
          <w:numId w:val="16"/>
        </w:numPr>
      </w:pPr>
      <w:r>
        <w:t>R1-2406803</w:t>
      </w:r>
      <w:r>
        <w:tab/>
        <w:t>Enhancement for asymmetric DL sTRP UL mTRP scenarios</w:t>
      </w:r>
      <w:r>
        <w:tab/>
        <w:t>Ericsson</w:t>
      </w:r>
    </w:p>
    <w:p w14:paraId="1E4BDBBF" w14:textId="77777777" w:rsidR="00CF271E" w:rsidRDefault="005A04FC">
      <w:pPr>
        <w:pStyle w:val="af0"/>
        <w:numPr>
          <w:ilvl w:val="0"/>
          <w:numId w:val="16"/>
        </w:numPr>
      </w:pPr>
      <w:r>
        <w:t>R1-2406834</w:t>
      </w:r>
      <w:r>
        <w:tab/>
        <w:t>Enhancements for asymmetric DL sTRP/UL mTRP</w:t>
      </w:r>
      <w:r>
        <w:tab/>
        <w:t>Apple</w:t>
      </w:r>
    </w:p>
    <w:p w14:paraId="5F3A00BB" w14:textId="77777777" w:rsidR="00CF271E" w:rsidRDefault="005A04FC">
      <w:pPr>
        <w:pStyle w:val="af0"/>
        <w:numPr>
          <w:ilvl w:val="0"/>
          <w:numId w:val="16"/>
        </w:numPr>
      </w:pPr>
      <w:r>
        <w:t>R1-2406928</w:t>
      </w:r>
      <w:r>
        <w:tab/>
        <w:t>Discussion on enhancement for asymmetric DL sTRP/UL mTRP scenarios</w:t>
      </w:r>
      <w:r>
        <w:tab/>
        <w:t>NTT DOCOMO, INC.</w:t>
      </w:r>
    </w:p>
    <w:p w14:paraId="4F3AF7AD" w14:textId="77777777" w:rsidR="00CF271E" w:rsidRDefault="005A04FC">
      <w:pPr>
        <w:pStyle w:val="af0"/>
        <w:numPr>
          <w:ilvl w:val="0"/>
          <w:numId w:val="16"/>
        </w:numPr>
      </w:pPr>
      <w:r>
        <w:t>R1-2407005</w:t>
      </w:r>
      <w:r>
        <w:tab/>
        <w:t>Enhancement for asymmetric DL sTRP/UL mTRP scenarios</w:t>
      </w:r>
      <w:r>
        <w:tab/>
        <w:t>Sharp</w:t>
      </w:r>
    </w:p>
    <w:p w14:paraId="243C7759" w14:textId="77777777" w:rsidR="00CF271E" w:rsidRDefault="005A04FC">
      <w:pPr>
        <w:pStyle w:val="af0"/>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af0"/>
        <w:numPr>
          <w:ilvl w:val="0"/>
          <w:numId w:val="16"/>
        </w:numPr>
      </w:pPr>
      <w:r>
        <w:t>R1-2407112</w:t>
      </w:r>
      <w:r>
        <w:tab/>
        <w:t>Discussion on enhancement for asymmetric DL sTRP and UL mTRP scenarios</w:t>
      </w:r>
      <w:r>
        <w:tab/>
        <w:t>Google</w:t>
      </w:r>
    </w:p>
    <w:p w14:paraId="35703B27" w14:textId="77777777" w:rsidR="00CF271E" w:rsidRDefault="005A04FC">
      <w:pPr>
        <w:pStyle w:val="af0"/>
        <w:numPr>
          <w:ilvl w:val="0"/>
          <w:numId w:val="16"/>
        </w:numPr>
      </w:pPr>
      <w:r>
        <w:t>R1-2407123</w:t>
      </w:r>
      <w:r>
        <w:tab/>
        <w:t>Discussion on asymmetric DL sTRP and UL mTRP</w:t>
      </w:r>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245E" w14:textId="77777777" w:rsidR="003F011F" w:rsidRDefault="003F011F" w:rsidP="00AD2E02">
      <w:r>
        <w:separator/>
      </w:r>
    </w:p>
  </w:endnote>
  <w:endnote w:type="continuationSeparator" w:id="0">
    <w:p w14:paraId="2D7530CA" w14:textId="77777777" w:rsidR="003F011F" w:rsidRDefault="003F011F"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57C4" w14:textId="77777777" w:rsidR="003F011F" w:rsidRDefault="003F011F" w:rsidP="00AD2E02">
      <w:r>
        <w:separator/>
      </w:r>
    </w:p>
  </w:footnote>
  <w:footnote w:type="continuationSeparator" w:id="0">
    <w:p w14:paraId="651E9DFC" w14:textId="77777777" w:rsidR="003F011F" w:rsidRDefault="003F011F"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8"/>
  </w:num>
  <w:num w:numId="8">
    <w:abstractNumId w:val="17"/>
  </w:num>
  <w:num w:numId="9">
    <w:abstractNumId w:val="6"/>
  </w:num>
  <w:num w:numId="10">
    <w:abstractNumId w:val="11"/>
  </w:num>
  <w:num w:numId="11">
    <w:abstractNumId w:val="15"/>
  </w:num>
  <w:num w:numId="12">
    <w:abstractNumId w:val="13"/>
  </w:num>
  <w:num w:numId="13">
    <w:abstractNumId w:val="4"/>
  </w:num>
  <w:num w:numId="14">
    <w:abstractNumId w:val="16"/>
  </w:num>
  <w:num w:numId="15">
    <w:abstractNumId w:val="5"/>
  </w:num>
  <w:num w:numId="16">
    <w:abstractNumId w:val="0"/>
  </w:num>
  <w:num w:numId="17">
    <w:abstractNumId w:val="14"/>
  </w:num>
  <w:num w:numId="18">
    <w:abstractNumId w:val="3"/>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uiPriority w:val="9"/>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34"/>
    <w:qFormat/>
    <w:pPr>
      <w:ind w:left="720"/>
    </w:pPr>
    <w:rPr>
      <w:rFonts w:eastAsia="Calibri"/>
      <w:szCs w:val="24"/>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맑은 고딕" w:hAnsi="Arial"/>
      <w:i/>
      <w:iCs/>
      <w:sz w:val="20"/>
      <w:szCs w:val="26"/>
    </w:rPr>
  </w:style>
  <w:style w:type="character" w:styleId="af1">
    <w:name w:val="Placeholder Text"/>
    <w:basedOn w:val="a0"/>
    <w:uiPriority w:val="99"/>
    <w:semiHidden/>
    <w:qFormat/>
    <w:rPr>
      <w:color w:val="666666"/>
    </w:rPr>
  </w:style>
  <w:style w:type="paragraph" w:customStyle="1" w:styleId="14">
    <w:name w:val="수정1"/>
    <w:hidden/>
    <w:uiPriority w:val="99"/>
    <w:semiHidden/>
    <w:qFormat/>
    <w:rPr>
      <w:rFonts w:ascii="Times New Roman" w:hAnsi="Times New Roman"/>
      <w:sz w:val="22"/>
      <w:szCs w:val="22"/>
      <w:lang w:eastAsia="ja-JP"/>
    </w:rPr>
  </w:style>
  <w:style w:type="paragraph" w:styleId="af2">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2780</Words>
  <Characters>15848</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Chang Kapseok</cp:lastModifiedBy>
  <cp:revision>9</cp:revision>
  <dcterms:created xsi:type="dcterms:W3CDTF">2024-08-20T07:05:00Z</dcterms:created>
  <dcterms:modified xsi:type="dcterms:W3CDTF">2024-08-20T08:04:00Z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