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bookmarkStart w:id="8" w:name="_GoBack"/>
      <w:r>
        <w:rPr>
          <w:color w:val="FF0000"/>
          <w:lang w:val="en-US"/>
        </w:rPr>
        <w:t>FL5</w:t>
      </w:r>
      <w:bookmarkEnd w:id="8"/>
      <w:r>
        <w:rPr>
          <w:lang w:val="en-US"/>
        </w:rPr>
        <w:t>.</w:t>
      </w:r>
    </w:p>
    <w:p>
      <w:pPr>
        <w:rPr>
          <w:lang w:val="en-US"/>
        </w:rPr>
      </w:pPr>
      <w:r>
        <w:rPr>
          <w:rFonts w:ascii="Times" w:hAnsi="Times"/>
          <w:b/>
          <w:szCs w:val="24"/>
          <w:lang w:val="en-US"/>
        </w:rPr>
        <w:t>FL5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OPPO</w:t>
            </w:r>
          </w:p>
        </w:tc>
        <w:tc>
          <w:tcPr>
            <w:tcW w:w="3119" w:type="dxa"/>
          </w:tcPr>
          <w:p>
            <w:pPr>
              <w:spacing w:after="0"/>
              <w:jc w:val="center"/>
              <w:rPr>
                <w:rFonts w:eastAsiaTheme="minorEastAsia"/>
                <w:lang w:val="en-US" w:eastAsia="zh-CN"/>
              </w:rPr>
            </w:pPr>
            <w:r>
              <w:rPr>
                <w:rFonts w:eastAsiaTheme="minorEastAsia"/>
                <w:lang w:val="en-US" w:eastAsia="zh-CN"/>
              </w:rPr>
              <w:t>Zhisong Zuo</w:t>
            </w:r>
          </w:p>
        </w:tc>
        <w:tc>
          <w:tcPr>
            <w:tcW w:w="4252" w:type="dxa"/>
          </w:tcPr>
          <w:p>
            <w:pPr>
              <w:spacing w:after="0"/>
              <w:jc w:val="center"/>
              <w:rPr>
                <w:rFonts w:eastAsiaTheme="minorEastAsia"/>
                <w:lang w:val="sv-SE" w:eastAsia="zh-CN"/>
              </w:rPr>
            </w:pPr>
            <w:r>
              <w:rPr>
                <w:rFonts w:eastAsiaTheme="minorEastAsia"/>
                <w:lang w:val="sv-SE" w:eastAsia="zh-CN"/>
              </w:rPr>
              <w:t>zuozhisong</w:t>
            </w:r>
            <w:r>
              <w:rPr>
                <w:rFonts w:hint="eastAsia" w:eastAsiaTheme="minorEastAsia"/>
                <w:lang w:val="sv-SE" w:eastAsia="zh-CN"/>
              </w:rPr>
              <w:t>@oppo</w:t>
            </w:r>
            <w:r>
              <w:rPr>
                <w:rFonts w:eastAsiaTheme="minorEastAsia"/>
                <w:lang w:val="sv-S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New H3C</w:t>
            </w:r>
          </w:p>
        </w:tc>
        <w:tc>
          <w:tcPr>
            <w:tcW w:w="3119" w:type="dxa"/>
          </w:tcPr>
          <w:p>
            <w:pPr>
              <w:spacing w:after="0"/>
              <w:jc w:val="center"/>
              <w:rPr>
                <w:rFonts w:eastAsiaTheme="minorEastAsia"/>
                <w:lang w:val="en-US" w:eastAsia="zh-CN"/>
              </w:rPr>
            </w:pPr>
            <w:r>
              <w:rPr>
                <w:rFonts w:hint="eastAsia" w:eastAsiaTheme="minorEastAsia"/>
                <w:lang w:val="en-US" w:eastAsia="zh-CN"/>
              </w:rPr>
              <w:t>Lei Zhou</w:t>
            </w:r>
          </w:p>
        </w:tc>
        <w:tc>
          <w:tcPr>
            <w:tcW w:w="4252" w:type="dxa"/>
          </w:tcPr>
          <w:p>
            <w:pPr>
              <w:spacing w:after="0"/>
              <w:jc w:val="center"/>
              <w:rPr>
                <w:rFonts w:eastAsiaTheme="minorEastAsia"/>
                <w:lang w:val="en-US" w:eastAsia="zh-CN"/>
              </w:rPr>
            </w:pPr>
            <w:r>
              <w:rPr>
                <w:rFonts w:eastAsiaTheme="minorEastAsia"/>
                <w:lang w:val="en-US" w:eastAsia="zh-CN"/>
              </w:rPr>
              <w:t>z</w:t>
            </w:r>
            <w:r>
              <w:rPr>
                <w:rFonts w:hint="eastAsia" w:eastAsiaTheme="minorEastAsia"/>
                <w:lang w:val="en-US" w:eastAsia="zh-CN"/>
              </w:rPr>
              <w:t>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3119" w:type="dxa"/>
          </w:tcPr>
          <w:p>
            <w:pPr>
              <w:spacing w:after="0"/>
              <w:jc w:val="center"/>
              <w:rPr>
                <w:rFonts w:eastAsia="Malgun Gothic"/>
                <w:lang w:val="en-US" w:eastAsia="ko-KR"/>
              </w:rPr>
            </w:pPr>
            <w:r>
              <w:rPr>
                <w:rFonts w:hint="eastAsia" w:eastAsia="Malgun Gothic"/>
                <w:lang w:val="en-US" w:eastAsia="ko-KR"/>
              </w:rPr>
              <w:t>Hyewon Yang</w:t>
            </w:r>
          </w:p>
        </w:tc>
        <w:tc>
          <w:tcPr>
            <w:tcW w:w="4252" w:type="dxa"/>
          </w:tcPr>
          <w:p>
            <w:pPr>
              <w:spacing w:after="0"/>
              <w:jc w:val="center"/>
              <w:rPr>
                <w:rFonts w:eastAsia="Malgun Gothic"/>
                <w:lang w:val="en-US" w:eastAsia="ko-KR"/>
              </w:rPr>
            </w:pPr>
            <w:r>
              <w:rPr>
                <w:rFonts w:eastAsia="Malgun Gothic"/>
                <w:lang w:val="en-US" w:eastAsia="ko-KR"/>
              </w:rPr>
              <w:t>hye1.yang@samsung.com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lang w:val="en-US"/>
              </w:rPr>
            </w:pPr>
            <w:r>
              <w:rPr>
                <w:lang w:val="en-US"/>
              </w:rPr>
              <w:t>A network-configurable additional separate early indication in Msg1 for Rel-18 eRedCap UEs is supported.</w:t>
            </w:r>
          </w:p>
          <w:p>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1"/>
              </w:numPr>
              <w:spacing w:after="0" w:line="240" w:lineRule="auto"/>
              <w:jc w:val="left"/>
              <w:rPr>
                <w:lang w:val="en-US"/>
              </w:rPr>
            </w:pPr>
            <w:r>
              <w:rPr>
                <w:lang w:val="en-US"/>
              </w:rPr>
              <w:t>Note: Rel-18 eRedCap UEs will be differentiated from Rel-17 RedCap UEs based on Msg3 of Rel-18 eRedCap UEs.</w:t>
            </w:r>
          </w:p>
          <w:p>
            <w:pPr>
              <w:numPr>
                <w:ilvl w:val="0"/>
                <w:numId w:val="11"/>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5" w:type="dxa"/>
            <w:gridSpan w:val="2"/>
          </w:tcPr>
          <w:p>
            <w:pPr>
              <w:jc w:val="left"/>
              <w:rPr>
                <w:rFonts w:eastAsiaTheme="minorEastAsia"/>
                <w:lang w:val="en-US" w:eastAsia="zh-CN"/>
              </w:rPr>
            </w:pPr>
            <w:r>
              <w:rPr>
                <w:rFonts w:eastAsiaTheme="minorEastAsia"/>
                <w:lang w:val="en-US" w:eastAsia="zh-CN"/>
              </w:rPr>
              <w:t>Based on the Tuesday offline session, the following proposal can be considered.</w:t>
            </w:r>
          </w:p>
          <w:p>
            <w:pPr>
              <w:rPr>
                <w:b/>
                <w:bCs/>
                <w:lang w:val="en-US"/>
              </w:rPr>
            </w:pPr>
            <w:r>
              <w:rPr>
                <w:b/>
                <w:highlight w:val="yellow"/>
                <w:lang w:val="en-US"/>
              </w:rPr>
              <w:t>High Priority Proposal 1-1b</w:t>
            </w:r>
            <w:r>
              <w:rPr>
                <w:b/>
                <w:bCs/>
                <w:lang w:val="en-US"/>
              </w:rPr>
              <w:t>:</w:t>
            </w:r>
          </w:p>
          <w:p>
            <w:pPr>
              <w:pStyle w:val="5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pPr>
              <w:pStyle w:val="50"/>
              <w:numPr>
                <w:ilvl w:val="1"/>
                <w:numId w:val="12"/>
              </w:numPr>
              <w:rPr>
                <w:b/>
                <w:sz w:val="20"/>
                <w:szCs w:val="22"/>
                <w:lang w:val="en-US"/>
              </w:rPr>
            </w:pPr>
            <w:r>
              <w:rPr>
                <w:b/>
                <w:bCs/>
                <w:color w:val="FF0000"/>
                <w:sz w:val="20"/>
                <w:szCs w:val="22"/>
                <w:lang w:val="en-US"/>
              </w:rPr>
              <w:t>Send LS to RAN2 to inform about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pPr>
              <w:spacing w:after="0" w:line="252" w:lineRule="auto"/>
              <w:contextualSpacing/>
              <w:jc w:val="left"/>
              <w:rPr>
                <w:rFonts w:ascii="Times" w:hAnsi="Times"/>
                <w:bCs/>
                <w:szCs w:val="22"/>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3"/>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5"/>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OK with the text proposal.</w:t>
            </w:r>
          </w:p>
          <w:p>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We don’t see the need of this change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p>
        </w:tc>
        <w:tc>
          <w:tcPr>
            <w:tcW w:w="6783" w:type="dxa"/>
          </w:tcPr>
          <w:p>
            <w:pPr>
              <w:jc w:val="left"/>
              <w:rPr>
                <w:rFonts w:eastAsia="Yu Mincho"/>
                <w:lang w:val="en-US" w:eastAsia="ja-JP"/>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jc w:val="left"/>
              <w:rPr>
                <w:rFonts w:eastAsia="Malgun Gothic"/>
                <w:lang w:val="en-US" w:eastAsia="ko-KR"/>
              </w:rPr>
            </w:pPr>
            <w:r>
              <w:rPr>
                <w:rFonts w:eastAsia="Yu Mincho"/>
                <w:lang w:val="en-US" w:eastAsia="ja-JP"/>
              </w:rPr>
              <w:t>Same understanding as Nordic. UE waits for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Tend to </w:t>
            </w: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hint="eastAsia" w:eastAsiaTheme="minor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SONY</w:t>
            </w:r>
          </w:p>
        </w:tc>
        <w:tc>
          <w:tcPr>
            <w:tcW w:w="1372" w:type="dxa"/>
          </w:tcPr>
          <w:p>
            <w:pPr>
              <w:tabs>
                <w:tab w:val="left" w:pos="551"/>
              </w:tabs>
              <w:jc w:val="left"/>
              <w:rPr>
                <w:rFonts w:hint="eastAsia"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Tend to agree with Nokia. The UE can always transmit PRACH earlier. </w:t>
            </w:r>
          </w:p>
          <w:p>
            <w:pPr>
              <w:jc w:val="left"/>
              <w:rPr>
                <w:rFonts w:eastAsiaTheme="minorEastAsia"/>
                <w:lang w:val="en-US" w:eastAsia="zh-CN"/>
              </w:rPr>
            </w:pPr>
            <w:r>
              <w:rPr>
                <w:rFonts w:eastAsiaTheme="minorEastAsia"/>
                <w:lang w:val="en-US" w:eastAsia="zh-CN"/>
              </w:rPr>
              <w:t>From the discussion above, the red text seems to potentially create more problems than it solves.</w:t>
            </w: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7"/>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8"/>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p>
        </w:tc>
        <w:tc>
          <w:tcPr>
            <w:tcW w:w="7984" w:type="dxa"/>
            <w:gridSpan w:val="2"/>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pStyle w:val="50"/>
              <w:tabs>
                <w:tab w:val="left" w:pos="1545"/>
              </w:tabs>
              <w:ind w:left="0"/>
              <w:jc w:val="left"/>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3" w:type="dxa"/>
          </w:tcPr>
          <w:p>
            <w:pPr>
              <w:snapToGrid w:val="0"/>
              <w:spacing w:after="0"/>
              <w:jc w:val="left"/>
              <w:rPr>
                <w:rFonts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7" w:type="dxa"/>
                </w:tcPr>
                <w:p>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3" w:type="dxa"/>
          </w:tcPr>
          <w:p>
            <w:pPr>
              <w:jc w:val="left"/>
              <w:rPr>
                <w:rFonts w:eastAsia="Yu Mincho"/>
                <w:lang w:val="en-US" w:eastAsia="ja-JP"/>
              </w:rPr>
            </w:pPr>
            <w:r>
              <w:rPr>
                <w:rFonts w:hint="eastAsia" w:eastAsia="Malgun Gothic"/>
                <w:lang w:val="en-US" w:eastAsia="ko-KR"/>
              </w:rPr>
              <w:t>No need to change the spec,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hint="eastAsia" w:eastAsiaTheme="minorEastAsia"/>
                <w:b/>
                <w:lang w:val="en-US" w:eastAsia="zh-CN"/>
              </w:rPr>
              <w:t>Broadcast</w:t>
            </w:r>
            <w:r>
              <w:rPr>
                <w:rFonts w:eastAsiaTheme="minorEastAsia"/>
                <w:b/>
                <w:lang w:val="en-US" w:eastAsia="zh-CN"/>
              </w:rPr>
              <w:t xml:space="preserve"> </w:t>
            </w:r>
            <w:r>
              <w:rPr>
                <w:rFonts w:hint="eastAsia" w:eastAsiaTheme="minor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pPr>
              <w:jc w:val="left"/>
              <w:rPr>
                <w:rFonts w:eastAsia="宋体"/>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sz w:val="22"/>
                <w:szCs w:val="22"/>
                <w:lang w:val="en-US" w:eastAsia="zh-CN"/>
              </w:rPr>
              <w:t xml:space="preserve">, we believe that it is better to ensure the UE to receive the redundancy version with more information bits, e.g., RV#0 or RV#3, to improve the probability of successful decoding. </w:t>
            </w:r>
          </w:p>
          <w:p>
            <w:pPr>
              <w:jc w:val="left"/>
              <w:rPr>
                <w:rFonts w:eastAsia="宋体"/>
                <w:sz w:val="22"/>
                <w:szCs w:val="22"/>
                <w:lang w:val="en-US" w:eastAsia="zh-CN"/>
              </w:rPr>
            </w:pPr>
            <w:r>
              <w:rPr>
                <w:rFonts w:eastAsia="宋体"/>
                <w:sz w:val="22"/>
                <w:szCs w:val="22"/>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35"/>
              <w:tblW w:w="1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m:rP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pPr>
                    <w:jc w:val="left"/>
                    <w:rPr>
                      <w:rFonts w:eastAsia="宋体"/>
                      <w:sz w:val="22"/>
                      <w:szCs w:val="22"/>
                      <w:lang w:val="en-US" w:eastAsia="zh-CN"/>
                    </w:rPr>
                  </w:pPr>
                </w:p>
              </w:tc>
            </w:tr>
          </w:tbl>
          <w:p>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hint="eastAsia" w:eastAsiaTheme="minorEastAsia"/>
                <w:lang w:val="en-US" w:eastAsia="zh-CN"/>
              </w:rPr>
            </w:pPr>
            <w:r>
              <w:rPr>
                <w:rFonts w:eastAsiaTheme="minorEastAsia"/>
                <w:lang w:val="en-US" w:eastAsia="zh-CN"/>
              </w:rPr>
              <w:t>SONY</w:t>
            </w:r>
          </w:p>
        </w:tc>
        <w:tc>
          <w:tcPr>
            <w:tcW w:w="1372" w:type="dxa"/>
          </w:tcPr>
          <w:p>
            <w:pPr>
              <w:tabs>
                <w:tab w:val="left" w:pos="551"/>
              </w:tabs>
              <w:jc w:val="left"/>
              <w:rPr>
                <w:rFonts w:hint="eastAsia"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pPr>
              <w:jc w:val="left"/>
              <w:rPr>
                <w:rFonts w:hint="eastAsia"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bl>
    <w:p>
      <w:pPr>
        <w:rPr>
          <w:rFonts w:eastAsia="Microsoft YaHei UI"/>
          <w:lang w:eastAsia="zh-CN"/>
        </w:rPr>
      </w:pPr>
    </w:p>
    <w:p>
      <w:pPr>
        <w:rPr>
          <w:b/>
          <w:lang w:val="en-US"/>
        </w:rPr>
      </w:pPr>
      <w:r>
        <w:rPr>
          <w:b/>
          <w:highlight w:val="cyan"/>
          <w:lang w:val="en-US"/>
        </w:rPr>
        <w:t>FL1/FL2/FL3/FL5 Medium Priority Question 4-2a</w:t>
      </w:r>
      <w:r>
        <w:rPr>
          <w:b/>
          <w:lang w:val="en-US"/>
        </w:rPr>
        <w:t>: Please indicate your preference among the following options:</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Malgun Gothic"/>
                <w:lang w:val="en-US" w:eastAsia="ko-KR"/>
              </w:rPr>
              <w:t>Share the view that it is low priority.</w:t>
            </w:r>
          </w:p>
        </w:tc>
      </w:tr>
    </w:tbl>
    <w:p>
      <w:pPr>
        <w:rPr>
          <w:rFonts w:eastAsia="Microsoft YaHei UI"/>
          <w:lang w:eastAsia="zh-CN"/>
        </w:rPr>
      </w:pPr>
    </w:p>
    <w:p>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In that case the UE will be scheduled with small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ko-KR"/>
              </w:rPr>
            </w:pPr>
            <w:r>
              <w:rPr>
                <w:rFonts w:eastAsia="Yu Mincho"/>
                <w:lang w:val="en-US" w:eastAsia="ja-JP"/>
              </w:rPr>
              <w:t xml:space="preserve">In case of option 1, </w:t>
            </w:r>
            <w:r>
              <w:rPr>
                <w:rFonts w:hint="eastAsia" w:eastAsia="Yu Mincho"/>
                <w:lang w:val="en-US" w:eastAsia="ja-JP"/>
              </w:rPr>
              <w:t>g</w:t>
            </w:r>
            <w:r>
              <w:rPr>
                <w:rFonts w:eastAsia="Yu Mincho"/>
                <w:lang w:val="en-US" w:eastAsia="ja-JP"/>
              </w:rPr>
              <w:t>NB should avoid scheduling a unicast PDSCH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5" w:type="dxa"/>
            <w:gridSpan w:val="3"/>
          </w:tcPr>
          <w:p>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pPr>
              <w:rPr>
                <w:b/>
                <w:lang w:val="en-US"/>
              </w:rPr>
            </w:pPr>
            <w:r>
              <w:rPr>
                <w:b/>
                <w:highlight w:val="yellow"/>
                <w:lang w:val="en-US"/>
              </w:rPr>
              <w:t>High Priority Proposal 5-1c</w:t>
            </w:r>
            <w:r>
              <w:rPr>
                <w:b/>
                <w:lang w:val="en-US"/>
              </w:rPr>
              <w:t>:</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pPr>
              <w:pStyle w:val="50"/>
              <w:numPr>
                <w:ilvl w:val="0"/>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5" w:type="dxa"/>
            <w:gridSpan w:val="3"/>
          </w:tcPr>
          <w:p>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pPr>
              <w:pStyle w:val="50"/>
              <w:numPr>
                <w:ilvl w:val="0"/>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pPr>
              <w:pStyle w:val="50"/>
              <w:numPr>
                <w:ilvl w:val="0"/>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1"/>
              </w:numPr>
              <w:jc w:val="left"/>
              <w:rPr>
                <w:rFonts w:ascii="Times New Roman" w:hAnsi="Times New Roman" w:eastAsia="Microsoft YaHei UI"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pPr>
              <w:jc w:val="left"/>
              <w:rPr>
                <w:rFonts w:eastAsia="Microsoft YaHei UI"/>
                <w:lang w:val="en-US" w:eastAsia="zh-CN"/>
              </w:rPr>
            </w:pPr>
            <w:r>
              <w:rPr>
                <w:rFonts w:eastAsia="Microsoft YaHei UI"/>
                <w:lang w:val="en-US" w:eastAsia="zh-CN"/>
              </w:rPr>
              <w:t>Based on the discussion, please find two new Proposals 5-2a and 5-3a below.</w:t>
            </w:r>
          </w:p>
        </w:tc>
      </w:tr>
    </w:tbl>
    <w:p>
      <w:pPr>
        <w:jc w:val="left"/>
        <w:rPr>
          <w:lang w:val="en-US"/>
        </w:rPr>
      </w:pPr>
    </w:p>
    <w:p>
      <w:pPr>
        <w:jc w:val="left"/>
        <w:rPr>
          <w:lang w:val="en-US"/>
        </w:rPr>
      </w:pPr>
      <w:r>
        <w:rPr>
          <w:lang w:val="en-US"/>
        </w:rPr>
        <w:t>Regarding broadcast:</w:t>
      </w:r>
    </w:p>
    <w:p>
      <w:pPr>
        <w:jc w:val="left"/>
        <w:rPr>
          <w:lang w:val="en-US"/>
        </w:rPr>
      </w:pPr>
      <w:r>
        <w:rPr>
          <w:b/>
          <w:highlight w:val="yellow"/>
          <w:lang w:val="en-US"/>
        </w:rPr>
        <w:t>FL5 High Priority Proposal 5-2a</w:t>
      </w:r>
      <w:r>
        <w:rPr>
          <w:b/>
          <w:lang w:val="en-US"/>
        </w:rPr>
        <w:t>:</w:t>
      </w:r>
    </w:p>
    <w:p>
      <w:pPr>
        <w:pStyle w:val="50"/>
        <w:numPr>
          <w:ilvl w:val="0"/>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1"/>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hint="eastAsia" w:eastAsiaTheme="minor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proposal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Option3</w:t>
            </w:r>
          </w:p>
        </w:tc>
        <w:tc>
          <w:tcPr>
            <w:tcW w:w="5411" w:type="dxa"/>
          </w:tcPr>
          <w:p>
            <w:pPr>
              <w:jc w:val="left"/>
              <w:rPr>
                <w:rFonts w:hint="default" w:eastAsiaTheme="minorEastAsia"/>
                <w:lang w:val="en-US" w:eastAsia="zh-CN"/>
              </w:rPr>
            </w:pPr>
            <w:r>
              <w:rPr>
                <w:rFonts w:hint="eastAsia" w:eastAsiaTheme="minorEastAsia"/>
                <w:lang w:val="en-US" w:eastAsia="zh-CN"/>
              </w:rPr>
              <w:t xml:space="preserve">According </w:t>
            </w:r>
            <w:r>
              <w:rPr>
                <w:rFonts w:hint="eastAsia" w:eastAsiaTheme="minorEastAsia"/>
                <w:b w:val="0"/>
                <w:bCs w:val="0"/>
                <w:lang w:val="en-US" w:eastAsia="zh-CN"/>
              </w:rPr>
              <w:t xml:space="preserve">to main bullet, </w:t>
            </w:r>
            <w:r>
              <w:rPr>
                <w:rFonts w:eastAsia="Microsoft YaHei UI"/>
                <w:b w:val="0"/>
                <w:bCs w:val="0"/>
                <w:lang w:val="en-US" w:eastAsia="zh-CN"/>
              </w:rPr>
              <w:t>the total number of PRBs</w:t>
            </w:r>
            <w:r>
              <w:rPr>
                <w:rFonts w:hint="eastAsia" w:eastAsia="Microsoft YaHei UI"/>
                <w:b w:val="0"/>
                <w:bCs w:val="0"/>
                <w:lang w:val="en-US" w:eastAsia="zh-CN"/>
              </w:rPr>
              <w:t xml:space="preserve"> of FDMed broadcast and unicast</w:t>
            </w:r>
            <w:r>
              <w:rPr>
                <w:rFonts w:eastAsia="Microsoft YaHei UI"/>
                <w:b w:val="0"/>
                <w:bCs w:val="0"/>
                <w:lang w:val="en-US" w:eastAsia="zh-CN"/>
              </w:rPr>
              <w:t xml:space="preserve"> exceeds 5MHz</w:t>
            </w:r>
            <w:r>
              <w:rPr>
                <w:rFonts w:hint="eastAsia" w:eastAsiaTheme="minorEastAsia"/>
                <w:b w:val="0"/>
                <w:bCs w:val="0"/>
                <w:lang w:val="en-US" w:eastAsia="zh-CN"/>
              </w:rPr>
              <w:t xml:space="preserve"> is</w:t>
            </w:r>
            <w:r>
              <w:rPr>
                <w:rFonts w:eastAsiaTheme="minorEastAsia"/>
                <w:b w:val="0"/>
                <w:bCs w:val="0"/>
                <w:lang w:val="en-US" w:eastAsia="zh-CN"/>
              </w:rPr>
              <w:t xml:space="preserve"> an error case</w:t>
            </w:r>
            <w:r>
              <w:rPr>
                <w:rFonts w:hint="eastAsia" w:eastAsiaTheme="minorEastAsia"/>
                <w:b w:val="0"/>
                <w:bCs w:val="0"/>
                <w:lang w:val="en-US" w:eastAsia="zh-CN"/>
              </w:rPr>
              <w:t>.</w:t>
            </w:r>
          </w:p>
        </w:tc>
      </w:tr>
    </w:tbl>
    <w:p>
      <w:pPr>
        <w:jc w:val="left"/>
        <w:rPr>
          <w:lang w:val="en-US"/>
        </w:rPr>
      </w:pPr>
    </w:p>
    <w:p>
      <w:pPr>
        <w:jc w:val="left"/>
        <w:rPr>
          <w:lang w:val="en-US"/>
        </w:rPr>
      </w:pPr>
      <w:r>
        <w:rPr>
          <w:lang w:val="en-US"/>
        </w:rPr>
        <w:t>Regarding multicast:</w:t>
      </w:r>
    </w:p>
    <w:p>
      <w:pPr>
        <w:jc w:val="left"/>
        <w:rPr>
          <w:lang w:val="en-US"/>
        </w:rPr>
      </w:pPr>
      <w:r>
        <w:rPr>
          <w:b/>
          <w:highlight w:val="yellow"/>
          <w:lang w:val="en-US"/>
        </w:rPr>
        <w:t>FL5 High Priority Proposal 5-3a</w:t>
      </w:r>
      <w:r>
        <w:rPr>
          <w:b/>
          <w:lang w:val="en-US"/>
        </w:rPr>
        <w:t>:</w:t>
      </w:r>
    </w:p>
    <w:p>
      <w:pPr>
        <w:pStyle w:val="50"/>
        <w:numPr>
          <w:ilvl w:val="0"/>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1"/>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1"/>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1"/>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eastAsiaTheme="minorEastAsia"/>
                <w:bCs/>
                <w:lang w:val="en-US" w:eastAsia="zh-CN"/>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Xiaomi2</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lang w:val="en-US"/>
              </w:rPr>
            </w:pPr>
            <w:r>
              <w:rPr>
                <w:rFonts w:hint="eastAsia" w:eastAsiaTheme="minorEastAsia"/>
                <w:bCs/>
                <w:lang w:val="en-US" w:eastAsia="zh-CN"/>
              </w:rPr>
              <w:t>S</w:t>
            </w:r>
            <w:r>
              <w:rPr>
                <w:rFonts w:eastAsiaTheme="minorEastAsia"/>
                <w:bCs/>
                <w:lang w:val="en-US" w:eastAsia="zh-CN"/>
              </w:rPr>
              <w:t xml:space="preserve">ame view as for </w:t>
            </w:r>
            <w:r>
              <w:rPr>
                <w:b/>
                <w:highlight w:val="yellow"/>
                <w:lang w:val="en-US"/>
              </w:rPr>
              <w:t>FL5 High Priority Proposal 5-2a</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Same as 5-2a, including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Option3</w:t>
            </w:r>
          </w:p>
        </w:tc>
        <w:tc>
          <w:tcPr>
            <w:tcW w:w="5411"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According </w:t>
            </w:r>
            <w:r>
              <w:rPr>
                <w:rFonts w:hint="eastAsia" w:eastAsiaTheme="minorEastAsia"/>
                <w:b w:val="0"/>
                <w:bCs w:val="0"/>
                <w:lang w:val="en-US" w:eastAsia="zh-CN"/>
              </w:rPr>
              <w:t xml:space="preserve">to main bullet, </w:t>
            </w:r>
            <w:r>
              <w:rPr>
                <w:rFonts w:eastAsia="Microsoft YaHei UI"/>
                <w:b w:val="0"/>
                <w:bCs w:val="0"/>
                <w:lang w:val="en-US" w:eastAsia="zh-CN"/>
              </w:rPr>
              <w:t>the total number of PRBs</w:t>
            </w:r>
            <w:r>
              <w:rPr>
                <w:rFonts w:hint="eastAsia" w:eastAsia="Microsoft YaHei UI"/>
                <w:b w:val="0"/>
                <w:bCs w:val="0"/>
                <w:lang w:val="en-US" w:eastAsia="zh-CN"/>
              </w:rPr>
              <w:t xml:space="preserve"> of FDMed multicast and unicast</w:t>
            </w:r>
            <w:r>
              <w:rPr>
                <w:rFonts w:eastAsia="Microsoft YaHei UI"/>
                <w:b w:val="0"/>
                <w:bCs w:val="0"/>
                <w:lang w:val="en-US" w:eastAsia="zh-CN"/>
              </w:rPr>
              <w:t xml:space="preserve"> exceeds 5MHz</w:t>
            </w:r>
            <w:r>
              <w:rPr>
                <w:rFonts w:hint="eastAsia" w:eastAsiaTheme="minorEastAsia"/>
                <w:b w:val="0"/>
                <w:bCs w:val="0"/>
                <w:lang w:val="en-US" w:eastAsia="zh-CN"/>
              </w:rPr>
              <w:t xml:space="preserve"> is</w:t>
            </w:r>
            <w:r>
              <w:rPr>
                <w:rFonts w:eastAsiaTheme="minorEastAsia"/>
                <w:b w:val="0"/>
                <w:bCs w:val="0"/>
                <w:lang w:val="en-US" w:eastAsia="zh-CN"/>
              </w:rPr>
              <w:t xml:space="preserve"> an error case</w:t>
            </w:r>
            <w:r>
              <w:rPr>
                <w:rFonts w:hint="eastAsia" w:eastAsiaTheme="minorEastAsia"/>
                <w:b w:val="0"/>
                <w:bCs w:val="0"/>
                <w:lang w:val="en-US" w:eastAsia="zh-CN"/>
              </w:rPr>
              <w:t>.</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1"/>
              </w:numPr>
              <w:spacing w:after="0" w:line="240" w:lineRule="auto"/>
              <w:jc w:val="left"/>
              <w:rPr>
                <w:lang w:val="en-US" w:eastAsia="sv-SE"/>
              </w:rPr>
            </w:pPr>
            <w:r>
              <w:rPr>
                <w:lang w:val="en-US" w:eastAsia="sv-SE"/>
              </w:rPr>
              <w:t>UE behavior 2: Relaxed random access processing timeline in connected mode:</w:t>
            </w:r>
          </w:p>
          <w:p>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Share views with CATT</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see no need for RAN2 to decide. </w:t>
            </w:r>
            <w:r>
              <w:rPr>
                <w:rFonts w:hint="eastAsia" w:eastAsiaTheme="minorEastAsia"/>
                <w:lang w:val="en-US" w:eastAsia="zh-CN"/>
              </w:rPr>
              <w:t>We</w:t>
            </w:r>
            <w:r>
              <w:rPr>
                <w:rFonts w:eastAsiaTheme="minorEastAsia"/>
                <w:lang w:val="en-US" w:eastAsia="zh-CN"/>
              </w:rPr>
              <w:t xml:space="preserve"> would like not trigger RAN2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pPr>
              <w:spacing w:after="0" w:line="252" w:lineRule="auto"/>
              <w:contextualSpacing/>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View 1</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FL2/FL3</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BatangChe"/>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N</w:t>
            </w:r>
          </w:p>
        </w:tc>
        <w:tc>
          <w:tcPr>
            <w:tcW w:w="6622" w:type="dxa"/>
          </w:tcPr>
          <w:p>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宋体"/>
                <w:lang w:val="en-US" w:eastAsia="zh-CN"/>
              </w:rPr>
              <w:t>New H3C</w:t>
            </w:r>
          </w:p>
        </w:tc>
        <w:tc>
          <w:tcPr>
            <w:tcW w:w="1362" w:type="dxa"/>
          </w:tcPr>
          <w:p>
            <w:pPr>
              <w:tabs>
                <w:tab w:val="left" w:pos="551"/>
              </w:tabs>
              <w:jc w:val="left"/>
              <w:rPr>
                <w:rFonts w:eastAsia="宋体"/>
                <w:lang w:val="en-US" w:eastAsia="zh-CN"/>
              </w:rPr>
            </w:pPr>
            <w:r>
              <w:rPr>
                <w:rFonts w:hint="eastAsia" w:eastAsia="宋体"/>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宋体"/>
                <w:lang w:val="en-US" w:eastAsia="zh-CN"/>
              </w:rPr>
            </w:pPr>
          </w:p>
        </w:tc>
        <w:tc>
          <w:tcPr>
            <w:tcW w:w="6622" w:type="dxa"/>
          </w:tcPr>
          <w:p>
            <w:pPr>
              <w:jc w:val="left"/>
              <w:rPr>
                <w:rFonts w:eastAsia="Yu Mincho"/>
                <w:lang w:val="en-US" w:eastAsia="ja-JP"/>
              </w:rPr>
            </w:pPr>
            <w:r>
              <w:rPr>
                <w:rFonts w:eastAsia="Yu Mincho"/>
                <w:lang w:val="en-US" w:eastAsia="ja-JP"/>
              </w:rPr>
              <w:t>This is not our preference but can live with it.</w:t>
            </w:r>
          </w:p>
          <w:p>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pPr>
              <w:jc w:val="left"/>
              <w:rPr>
                <w:rFonts w:eastAsia="Yu Mincho"/>
                <w:lang w:val="en-US" w:eastAsia="ja-JP"/>
              </w:rPr>
            </w:pPr>
            <w:r>
              <w:rPr>
                <w:rFonts w:eastAsia="Yu Mincho"/>
                <w:lang w:val="en-US" w:eastAsia="ja-JP"/>
              </w:rPr>
              <w:t>We provide the possible update to capture the case we pointed.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FL4</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8-4c</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Summary of change:</w:t>
                  </w:r>
                  <w:r>
                    <w:rPr>
                      <w:bCs/>
                      <w:lang w:val="en-US"/>
                    </w:rPr>
                    <w:t xml:space="preserve"> Replace “A UE that indicated FG 48-2”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pPr>
              <w:jc w:val="left"/>
              <w:rPr>
                <w:bCs/>
                <w:lang w:val="en-US"/>
              </w:rPr>
            </w:pP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FL5</w:t>
            </w:r>
          </w:p>
        </w:tc>
        <w:tc>
          <w:tcPr>
            <w:tcW w:w="7984"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Style w:val="34"/>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73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b/>
                      <w:szCs w:val="24"/>
                      <w:lang w:val="en-US"/>
                    </w:rPr>
                  </w:pPr>
                  <w:r>
                    <w:rPr>
                      <w:rFonts w:ascii="Times" w:hAnsi="Times" w:eastAsia="PMingLiU"/>
                      <w:kern w:val="2"/>
                      <w:szCs w:val="24"/>
                      <w:lang w:eastAsia="zh-TW"/>
                    </w:rPr>
                    <w:t xml:space="preserve">A UE </w:t>
                  </w:r>
                  <w:r>
                    <w:rPr>
                      <w:rFonts w:ascii="Times" w:hAnsi="Times" w:eastAsia="PMingLiU"/>
                      <w:strike/>
                      <w:color w:val="FF0000"/>
                      <w:kern w:val="2"/>
                      <w:szCs w:val="24"/>
                      <w:lang w:eastAsia="zh-TW"/>
                    </w:rPr>
                    <w:t>that indicated FG 48-2</w:t>
                  </w:r>
                  <w:r>
                    <w:rPr>
                      <w:rFonts w:ascii="Times" w:hAnsi="Times" w:eastAsia="PMingLiU"/>
                      <w:color w:val="FF0000"/>
                      <w:kern w:val="2"/>
                      <w:szCs w:val="24"/>
                      <w:lang w:eastAsia="zh-TW"/>
                    </w:rPr>
                    <w:t xml:space="preserve"> </w:t>
                  </w:r>
                  <w:r>
                    <w:rPr>
                      <w:rFonts w:ascii="Times" w:hAnsi="Times" w:eastAsia="PMingLiU"/>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pPr>
              <w:jc w:val="left"/>
              <w:rPr>
                <w:rFonts w:eastAsiaTheme="minorEastAsia"/>
                <w:lang w:val="en-US" w:eastAsia="zh-CN"/>
              </w:rPr>
            </w:pPr>
            <w:r>
              <w:rPr>
                <w:lang w:val="en-US" w:eastAsia="zh-CN"/>
              </w:rPr>
              <w:t xml:space="preserve"> </w:t>
            </w: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0"/>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0"/>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0"/>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1">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7">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9">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4"/>
  </w:num>
  <w:num w:numId="12">
    <w:abstractNumId w:val="24"/>
  </w:num>
  <w:num w:numId="13">
    <w:abstractNumId w:val="25"/>
  </w:num>
  <w:num w:numId="14">
    <w:abstractNumId w:val="13"/>
  </w:num>
  <w:num w:numId="15">
    <w:abstractNumId w:val="26"/>
  </w:num>
  <w:num w:numId="16">
    <w:abstractNumId w:val="17"/>
  </w:num>
  <w:num w:numId="17">
    <w:abstractNumId w:val="23"/>
  </w:num>
  <w:num w:numId="18">
    <w:abstractNumId w:val="8"/>
  </w:num>
  <w:num w:numId="19">
    <w:abstractNumId w:val="29"/>
  </w:num>
  <w:num w:numId="20">
    <w:abstractNumId w:val="2"/>
  </w:num>
  <w:num w:numId="21">
    <w:abstractNumId w:val="11"/>
  </w:num>
  <w:num w:numId="22">
    <w:abstractNumId w:val="14"/>
  </w:num>
  <w:num w:numId="23">
    <w:abstractNumId w:val="10"/>
  </w:num>
  <w:num w:numId="24">
    <w:abstractNumId w:val="6"/>
  </w:num>
  <w:num w:numId="25">
    <w:abstractNumId w:val="27"/>
  </w:num>
  <w:num w:numId="26">
    <w:abstractNumId w:val="16"/>
  </w:num>
  <w:num w:numId="27">
    <w:abstractNumId w:val="21"/>
  </w:num>
  <w:num w:numId="28">
    <w:abstractNumId w:val="3"/>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8D92D889-E7C5-45FC-B705-418069387EBF}">
  <ds:schemaRefs/>
</ds:datastoreItem>
</file>

<file path=customXml/itemProps3.xml><?xml version="1.0" encoding="utf-8"?>
<ds:datastoreItem xmlns:ds="http://schemas.openxmlformats.org/officeDocument/2006/customXml" ds:itemID="{99ADAD1D-410F-47E3-BD75-88FCBF079B68}">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38</Pages>
  <Words>15769</Words>
  <Characters>89888</Characters>
  <Lines>749</Lines>
  <Paragraphs>210</Paragraphs>
  <TotalTime>0</TotalTime>
  <ScaleCrop>false</ScaleCrop>
  <LinksUpToDate>false</LinksUpToDate>
  <CharactersWithSpaces>105447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2023-11-14T23:23:00Z</dcterms:created>
  <dc:creator>cmcc</dc:creator>
  <cp:lastModifiedBy>cmcc</cp:lastModifiedBy>
  <dcterms:modified xsi:type="dcterms:W3CDTF">2023-11-15T02:53:27Z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