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411CEC" w:rsidP="009E618D">
            <w:pPr>
              <w:spacing w:after="0"/>
              <w:jc w:val="center"/>
              <w:rPr>
                <w:rFonts w:eastAsiaTheme="minorEastAsia"/>
                <w:lang w:val="en-US" w:eastAsia="zh-CN"/>
              </w:rPr>
            </w:pPr>
            <w:hyperlink r:id="rId12" w:history="1">
              <w:r w:rsidRPr="00EE1E6B">
                <w:rPr>
                  <w:rStyle w:val="Hyperlink"/>
                  <w:rFonts w:eastAsiaTheme="minorEastAsia" w:hint="eastAsia"/>
                  <w:lang w:val="en-US" w:eastAsia="zh-CN"/>
                </w:rPr>
                <w:t>f</w:t>
              </w:r>
              <w:r w:rsidRPr="00EE1E6B">
                <w:rPr>
                  <w:rStyle w:val="Hyperlink"/>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hint="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hint="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bl>
    <w:p w14:paraId="12766FE5" w14:textId="77777777" w:rsidR="000254AA" w:rsidRDefault="000254AA">
      <w:pPr>
        <w:rPr>
          <w:szCs w:val="22"/>
          <w:highlight w:val="magenta"/>
          <w:lang w:val="en-US"/>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TableGrid"/>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RedCap UEs is configured, Rel-18 </w:t>
            </w:r>
            <w:proofErr w:type="spellStart"/>
            <w:r>
              <w:rPr>
                <w:lang w:val="en-US"/>
              </w:rPr>
              <w:t>eRedCap</w:t>
            </w:r>
            <w:proofErr w:type="spellEnd"/>
            <w:r>
              <w:rPr>
                <w:lang w:val="en-US"/>
              </w:rPr>
              <w:t xml:space="preserve">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RedCap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Hyperlink"/>
                <w:color w:val="0000FF"/>
                <w:lang w:val="en-US"/>
              </w:rPr>
            </w:pPr>
            <w:hyperlink r:id="rId13"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RedCap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RedCap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non-RedCap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11CEC" w14:paraId="5B3E6699" w14:textId="77777777">
        <w:tc>
          <w:tcPr>
            <w:tcW w:w="1479" w:type="dxa"/>
          </w:tcPr>
          <w:p w14:paraId="0EC4886A" w14:textId="3C69A714" w:rsidR="00411CEC" w:rsidRDefault="00411CEC" w:rsidP="009E618D">
            <w:pPr>
              <w:jc w:val="left"/>
              <w:rPr>
                <w:rFonts w:eastAsiaTheme="minorEastAsia" w:hint="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hint="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proofErr w:type="gramStart"/>
            <w:r>
              <w:rPr>
                <w:rFonts w:eastAsia="SimSun"/>
                <w:lang w:val="en-US"/>
              </w:rPr>
              <w:lastRenderedPageBreak/>
              <w:t>When</w:t>
            </w:r>
            <w:proofErr w:type="gramEnd"/>
            <w:r>
              <w:rPr>
                <w:rFonts w:eastAsia="SimSun"/>
                <w:lang w:val="en-US"/>
              </w:rPr>
              <w:t xml:space="preserve">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Hyperlink"/>
                <w:color w:val="0000FF"/>
                <w:lang w:val="en-US"/>
              </w:rPr>
            </w:pPr>
            <w:hyperlink r:id="rId14"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Hyperlink"/>
                <w:color w:val="0000FF"/>
                <w:lang w:val="en-US"/>
              </w:rPr>
            </w:pPr>
            <w:hyperlink r:id="rId15"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Hyperlink"/>
                <w:color w:val="0000FF"/>
                <w:lang w:val="en-US"/>
              </w:rPr>
            </w:pPr>
            <w:hyperlink r:id="rId16"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Hyperlink"/>
                <w:color w:val="0000FF"/>
                <w:lang w:val="en-US"/>
              </w:rPr>
            </w:pPr>
            <w:hyperlink r:id="rId17"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Hyperlink"/>
                <w:color w:val="0000FF"/>
                <w:lang w:val="en-US"/>
              </w:rPr>
            </w:pPr>
            <w:hyperlink r:id="rId18"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Hyperlink"/>
                <w:color w:val="0000FF"/>
                <w:lang w:val="en-US"/>
              </w:rPr>
            </w:pPr>
            <w:hyperlink r:id="rId19"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Hyperlink"/>
                <w:color w:val="0000FF"/>
                <w:lang w:val="en-US"/>
              </w:rPr>
            </w:pPr>
            <w:hyperlink r:id="rId20"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Hyperlink"/>
                <w:color w:val="0000FF"/>
                <w:lang w:val="en-US"/>
              </w:rPr>
            </w:pPr>
            <w:hyperlink r:id="rId21"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Hyperlink"/>
                <w:color w:val="0000FF"/>
                <w:lang w:val="en-US"/>
              </w:rPr>
            </w:pPr>
            <w:hyperlink r:id="rId22"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Hyperlink"/>
                <w:color w:val="0000FF"/>
                <w:lang w:val="en-US"/>
              </w:rPr>
            </w:pPr>
            <w:hyperlink r:id="rId23"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Hyperlink"/>
                <w:color w:val="0000FF"/>
                <w:lang w:val="en-US"/>
              </w:rPr>
            </w:pPr>
            <w:hyperlink r:id="rId24"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Hyperlink"/>
                <w:color w:val="0000FF"/>
                <w:lang w:val="en-US"/>
              </w:rPr>
            </w:pPr>
            <w:hyperlink r:id="rId25"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Hyperlink"/>
                <w:color w:val="0000FF"/>
                <w:lang w:val="en-US"/>
              </w:rPr>
            </w:pPr>
            <w:hyperlink r:id="rId26"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Hyperlink"/>
                <w:color w:val="0000FF"/>
                <w:lang w:val="en-US"/>
              </w:rPr>
            </w:pPr>
            <w:hyperlink r:id="rId27"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Hyperlink"/>
                <w:color w:val="0000FF"/>
                <w:lang w:val="en-US"/>
              </w:rPr>
            </w:pPr>
            <w:hyperlink r:id="rId28"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Hyperlink"/>
                <w:color w:val="0000FF"/>
                <w:lang w:val="en-US"/>
              </w:rPr>
            </w:pPr>
            <w:hyperlink r:id="rId29"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Hyperlink"/>
                <w:color w:val="0000FF"/>
                <w:lang w:val="en-US"/>
              </w:rPr>
            </w:pPr>
            <w:hyperlink r:id="rId30"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lastRenderedPageBreak/>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lastRenderedPageBreak/>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hint="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hint="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hint="eastAsia"/>
                <w:lang w:val="en-US" w:eastAsia="zh-CN"/>
              </w:rPr>
            </w:pPr>
          </w:p>
        </w:tc>
      </w:tr>
    </w:tbl>
    <w:p w14:paraId="0A5D112A" w14:textId="77777777" w:rsidR="000254AA" w:rsidRDefault="000254AA">
      <w:pPr>
        <w:rPr>
          <w:lang w:eastAsia="zh-CN"/>
        </w:rPr>
      </w:pPr>
    </w:p>
    <w:p w14:paraId="2F682A9C" w14:textId="77777777" w:rsidR="000254AA" w:rsidRDefault="0032761E">
      <w:pPr>
        <w:pStyle w:val="Heading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TableGrid"/>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1"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lastRenderedPageBreak/>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2"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3"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4"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5"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Hyperlink"/>
                <w:color w:val="0000FF"/>
                <w:lang w:val="en-US"/>
              </w:rPr>
            </w:pPr>
            <w:hyperlink r:id="rId36"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TableGrid"/>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lastRenderedPageBreak/>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hint="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hint="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hint="eastAsia"/>
                <w:lang w:val="en-US" w:eastAsia="zh-CN"/>
              </w:rPr>
            </w:pPr>
            <w:proofErr w:type="gramStart"/>
            <w:r w:rsidRPr="00411CEC">
              <w:rPr>
                <w:rFonts w:eastAsiaTheme="minorEastAsia"/>
                <w:lang w:val="en-US" w:eastAsia="zh-CN"/>
              </w:rPr>
              <w:t>A</w:t>
            </w:r>
            <w:proofErr w:type="gramEnd"/>
            <w:r w:rsidRPr="00411CEC">
              <w:rPr>
                <w:rFonts w:eastAsiaTheme="minorEastAsia"/>
                <w:lang w:val="en-US" w:eastAsia="zh-CN"/>
              </w:rPr>
              <w:t xml:space="preserve"> FG 48-2 UE follows the same initial access procedures as a FG 48-1 UE</w:t>
            </w:r>
          </w:p>
        </w:tc>
      </w:tr>
    </w:tbl>
    <w:p w14:paraId="6A488A9C" w14:textId="77777777" w:rsidR="000254AA" w:rsidRDefault="000254AA">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Hyperlink"/>
                <w:color w:val="0000FF"/>
                <w:lang w:val="en-US"/>
              </w:rPr>
            </w:pPr>
            <w:hyperlink r:id="rId37"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Hyperlink"/>
                <w:color w:val="0000FF"/>
                <w:lang w:val="en-US"/>
              </w:rPr>
            </w:pPr>
            <w:hyperlink r:id="rId38"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Hyperlink"/>
                <w:color w:val="0000FF"/>
                <w:lang w:val="en-US"/>
              </w:rPr>
            </w:pPr>
            <w:hyperlink r:id="rId39"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Hyperlink"/>
                <w:color w:val="0000FF"/>
                <w:lang w:val="en-US"/>
              </w:rPr>
            </w:pPr>
            <w:hyperlink r:id="rId40"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Hyperlink"/>
                <w:color w:val="0000FF"/>
                <w:lang w:val="en-US"/>
              </w:rPr>
            </w:pPr>
            <w:hyperlink r:id="rId41"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Hyperlink"/>
                <w:color w:val="0000FF"/>
                <w:lang w:val="en-US"/>
              </w:rPr>
            </w:pPr>
            <w:hyperlink r:id="rId42"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Hyperlink"/>
                <w:color w:val="0000FF"/>
                <w:lang w:val="en-US"/>
              </w:rPr>
            </w:pPr>
            <w:hyperlink r:id="rId43"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Hyperlink"/>
                <w:color w:val="0000FF"/>
                <w:lang w:val="en-US"/>
              </w:rPr>
            </w:pPr>
            <w:hyperlink r:id="rId44"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 xml:space="preserve">Actually, if gNB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t>
            </w:r>
            <w:r w:rsidR="000A4976" w:rsidRPr="007C1B5C">
              <w:rPr>
                <w:rFonts w:eastAsia="SimSun"/>
                <w:lang w:eastAsia="zh-CN"/>
              </w:rPr>
              <w:lastRenderedPageBreak/>
              <w:t xml:space="preserve">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hint="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hint="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hint="eastAsia"/>
                <w:lang w:val="en-US" w:eastAsia="zh-CN"/>
              </w:rPr>
            </w:pP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RedCap BWP is no larger than 20MHz. This means for the case that the total span of MSB CFR and RedCap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hint="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hint="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E76F7" w14:paraId="7D3E6E62" w14:textId="77777777">
        <w:tc>
          <w:tcPr>
            <w:tcW w:w="1479" w:type="dxa"/>
          </w:tcPr>
          <w:p w14:paraId="4F12A777" w14:textId="77777777" w:rsidR="00CE76F7" w:rsidRDefault="00CE76F7">
            <w:pPr>
              <w:jc w:val="left"/>
              <w:rPr>
                <w:rFonts w:eastAsiaTheme="minorEastAsia"/>
                <w:lang w:val="en-US" w:eastAsia="zh-CN"/>
              </w:rPr>
            </w:pPr>
          </w:p>
        </w:tc>
        <w:tc>
          <w:tcPr>
            <w:tcW w:w="1372" w:type="dxa"/>
          </w:tcPr>
          <w:p w14:paraId="19AF6576" w14:textId="77777777" w:rsidR="00CE76F7" w:rsidRDefault="00CE76F7">
            <w:pPr>
              <w:tabs>
                <w:tab w:val="left" w:pos="551"/>
              </w:tabs>
              <w:jc w:val="left"/>
              <w:rPr>
                <w:rFonts w:eastAsiaTheme="minorEastAsia"/>
                <w:lang w:val="en-US" w:eastAsia="zh-CN"/>
              </w:rPr>
            </w:pPr>
          </w:p>
        </w:tc>
        <w:tc>
          <w:tcPr>
            <w:tcW w:w="7038" w:type="dxa"/>
          </w:tcPr>
          <w:p w14:paraId="78D4228D" w14:textId="77777777" w:rsidR="00CE76F7" w:rsidRDefault="00CE76F7">
            <w:pPr>
              <w:jc w:val="left"/>
              <w:rPr>
                <w:rFonts w:eastAsiaTheme="minorEastAsia"/>
                <w:lang w:val="en-US" w:eastAsia="zh-CN"/>
              </w:rPr>
            </w:pP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Hyperlink"/>
                <w:color w:val="0000FF"/>
                <w:lang w:val="en-US"/>
              </w:rPr>
            </w:pPr>
            <w:hyperlink r:id="rId46"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Hyperlink"/>
                <w:color w:val="0000FF"/>
                <w:lang w:val="en-US"/>
              </w:rPr>
            </w:pPr>
            <w:hyperlink r:id="rId47"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Hyperlink"/>
                <w:color w:val="0000FF"/>
                <w:lang w:val="en-US"/>
              </w:rPr>
            </w:pPr>
            <w:hyperlink r:id="rId48"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Hyperlink"/>
                <w:color w:val="0000FF"/>
                <w:lang w:val="en-US"/>
              </w:rPr>
            </w:pPr>
            <w:hyperlink r:id="rId49"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Hyperlink"/>
                <w:color w:val="0000FF"/>
                <w:lang w:val="en-US"/>
              </w:rPr>
            </w:pPr>
            <w:hyperlink r:id="rId50"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Hyperlink"/>
                <w:color w:val="0000FF"/>
                <w:lang w:val="en-US"/>
              </w:rPr>
            </w:pPr>
            <w:hyperlink r:id="rId51"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Hyperlink"/>
                <w:color w:val="0000FF"/>
                <w:lang w:val="en-US"/>
              </w:rPr>
            </w:pPr>
            <w:hyperlink r:id="rId52"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Hyperlink"/>
                <w:color w:val="0000FF"/>
                <w:lang w:val="en-US"/>
              </w:rPr>
            </w:pPr>
            <w:hyperlink r:id="rId53"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Hyperlink"/>
                <w:color w:val="0000FF"/>
                <w:lang w:val="en-US"/>
              </w:rPr>
            </w:pPr>
            <w:hyperlink r:id="rId54"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Hyperlink"/>
                <w:color w:val="0000FF"/>
                <w:lang w:val="en-US"/>
              </w:rPr>
            </w:pPr>
            <w:hyperlink r:id="rId55"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Hyperlink"/>
                <w:color w:val="0000FF"/>
                <w:lang w:val="en-US"/>
              </w:rPr>
            </w:pPr>
            <w:hyperlink r:id="rId56"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Hyperlink"/>
                <w:color w:val="0000FF"/>
                <w:lang w:val="en-US"/>
              </w:rPr>
            </w:pPr>
            <w:hyperlink r:id="rId57"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Hyperlink"/>
                <w:color w:val="0000FF"/>
                <w:lang w:val="en-US"/>
              </w:rPr>
            </w:pPr>
            <w:hyperlink r:id="rId58"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Hyperlink"/>
                <w:color w:val="0000FF"/>
                <w:lang w:val="en-US"/>
              </w:rPr>
            </w:pPr>
            <w:hyperlink r:id="rId59"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Hyperlink"/>
                <w:color w:val="0000FF"/>
                <w:lang w:val="en-US"/>
              </w:rPr>
            </w:pPr>
            <w:hyperlink r:id="rId60"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Hyperlink"/>
                <w:color w:val="0000FF"/>
                <w:lang w:val="en-US"/>
              </w:rPr>
            </w:pPr>
            <w:hyperlink r:id="rId61"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Hyperlink"/>
                <w:color w:val="0000FF"/>
                <w:lang w:val="en-US"/>
              </w:rPr>
            </w:pPr>
            <w:hyperlink r:id="rId62"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Hyperlink"/>
                <w:color w:val="0000FF"/>
                <w:lang w:val="en-US"/>
              </w:rPr>
            </w:pPr>
            <w:hyperlink r:id="rId63"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Hyperlink"/>
                <w:color w:val="0000FF"/>
                <w:lang w:val="en-US"/>
              </w:rPr>
            </w:pPr>
            <w:hyperlink r:id="rId64"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hint="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hint="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bl>
    <w:p w14:paraId="7EFFFD94" w14:textId="77777777" w:rsidR="000254AA" w:rsidRDefault="000254AA">
      <w:pPr>
        <w:jc w:val="left"/>
        <w:rPr>
          <w:lang w:val="en-US"/>
        </w:rPr>
      </w:pPr>
    </w:p>
    <w:p w14:paraId="3DB00C41" w14:textId="77777777" w:rsidR="000254AA" w:rsidRDefault="0032761E">
      <w:pPr>
        <w:pStyle w:val="Heading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Hyperlink"/>
                <w:color w:val="0000FF"/>
                <w:lang w:val="en-US"/>
              </w:rPr>
            </w:pPr>
            <w:hyperlink r:id="rId65"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lastRenderedPageBreak/>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Hyperlink"/>
                <w:color w:val="0000FF"/>
                <w:lang w:val="en-US" w:eastAsia="sv-SE"/>
              </w:rPr>
            </w:pPr>
            <w:hyperlink r:id="rId66"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7"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8"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69"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hint="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hint="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lastRenderedPageBreak/>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Hyperlink"/>
                <w:color w:val="0000FF"/>
                <w:lang w:val="en-US"/>
              </w:rPr>
            </w:pPr>
            <w:hyperlink r:id="rId70"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Hyperlink"/>
                <w:color w:val="0000FF"/>
                <w:lang w:val="en-US"/>
              </w:rPr>
            </w:pPr>
            <w:hyperlink r:id="rId71"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Hyperlink"/>
                <w:color w:val="0000FF"/>
                <w:lang w:val="en-US"/>
              </w:rPr>
            </w:pPr>
            <w:hyperlink r:id="rId72"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Hyperlink"/>
                <w:color w:val="0000FF"/>
                <w:lang w:val="en-US"/>
              </w:rPr>
            </w:pPr>
            <w:hyperlink r:id="rId73"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Hyperlink"/>
                <w:color w:val="0000FF"/>
                <w:lang w:val="en-US"/>
              </w:rPr>
            </w:pPr>
            <w:hyperlink r:id="rId74"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Hyperlink"/>
                <w:color w:val="0000FF"/>
                <w:lang w:val="en-US"/>
              </w:rPr>
            </w:pPr>
            <w:hyperlink r:id="rId75"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Hyperlink"/>
                <w:color w:val="0000FF"/>
                <w:lang w:val="en-US"/>
              </w:rPr>
            </w:pPr>
            <w:hyperlink r:id="rId76"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Hyperlink"/>
                <w:color w:val="0000FF"/>
                <w:lang w:val="en-US"/>
              </w:rPr>
            </w:pPr>
            <w:hyperlink r:id="rId77"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Hyperlink"/>
                <w:color w:val="0000FF"/>
                <w:lang w:val="en-US"/>
              </w:rPr>
            </w:pPr>
            <w:hyperlink r:id="rId78"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Hyperlink"/>
                <w:color w:val="0000FF"/>
                <w:lang w:val="en-US"/>
              </w:rPr>
            </w:pPr>
            <w:hyperlink r:id="rId79"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Hyperlink"/>
                <w:color w:val="0000FF"/>
                <w:lang w:val="en-US"/>
              </w:rPr>
            </w:pPr>
            <w:hyperlink r:id="rId80"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Hyperlink"/>
                <w:color w:val="0000FF"/>
                <w:lang w:val="en-US"/>
              </w:rPr>
            </w:pPr>
            <w:hyperlink r:id="rId81"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Hyperlink"/>
                <w:color w:val="0000FF"/>
                <w:lang w:val="en-US"/>
              </w:rPr>
            </w:pPr>
            <w:hyperlink r:id="rId82"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Hyperlink"/>
                <w:color w:val="0000FF"/>
                <w:lang w:val="en-US"/>
              </w:rPr>
            </w:pPr>
            <w:hyperlink r:id="rId83"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lastRenderedPageBreak/>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Hyperlink"/>
                <w:color w:val="0000FF"/>
                <w:lang w:val="en-US"/>
              </w:rPr>
            </w:pPr>
            <w:hyperlink r:id="rId84"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5"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Hyperlink"/>
                <w:color w:val="0000FF"/>
                <w:lang w:val="en-US"/>
              </w:rPr>
            </w:pPr>
            <w:hyperlink r:id="rId86"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Hyperlink"/>
                <w:color w:val="0000FF"/>
                <w:lang w:val="en-US"/>
              </w:rPr>
            </w:pPr>
            <w:hyperlink r:id="rId87"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as long as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hint="eastAsia"/>
                <w:lang w:val="en-US" w:eastAsia="zh-CN"/>
              </w:rPr>
            </w:pPr>
            <w:r w:rsidRPr="00075FB0">
              <w:lastRenderedPageBreak/>
              <w:t>FUTUREWEI</w:t>
            </w:r>
          </w:p>
        </w:tc>
        <w:tc>
          <w:tcPr>
            <w:tcW w:w="1635" w:type="dxa"/>
          </w:tcPr>
          <w:p w14:paraId="0263DB8A" w14:textId="7D8B177E" w:rsidR="00411CEC" w:rsidRDefault="00411CEC" w:rsidP="00411CEC">
            <w:pPr>
              <w:tabs>
                <w:tab w:val="left" w:pos="551"/>
              </w:tabs>
              <w:jc w:val="left"/>
              <w:rPr>
                <w:rFonts w:eastAsiaTheme="minorEastAsia" w:hint="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 xml:space="preserve">The specification ensures </w:t>
            </w:r>
            <w:proofErr w:type="gramStart"/>
            <w:r w:rsidRPr="00075FB0">
              <w:t>a</w:t>
            </w:r>
            <w:proofErr w:type="gramEnd"/>
            <w:r w:rsidRPr="00075FB0">
              <w:t xml:space="preserve"> FG 48-2 UE follows the same operation as a FG 48-1 during initial access. The phrase “indicated” is used throughout 38.213.</w:t>
            </w: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TableGrid"/>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hint="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hint="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hint="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hint="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TableGrid"/>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 xml:space="preserve">it is aligned with the conclusion of that FG48-1 and FG48-2 </w:t>
            </w:r>
            <w:proofErr w:type="spellStart"/>
            <w:r>
              <w:rPr>
                <w:rFonts w:eastAsia="SimSun"/>
                <w:lang w:val="en-US" w:eastAsia="zh-CN"/>
              </w:rPr>
              <w:t>Ues</w:t>
            </w:r>
            <w:proofErr w:type="spellEnd"/>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hint="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hint="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hint="eastAsia"/>
                <w:lang w:val="en-US" w:eastAsia="zh-CN"/>
              </w:rPr>
            </w:pPr>
            <w:r w:rsidRPr="0069615C">
              <w:t>We can consider View 1 when the highlighted text is replaced with “A UE”</w:t>
            </w:r>
          </w:p>
        </w:tc>
      </w:tr>
    </w:tbl>
    <w:p w14:paraId="5685559E" w14:textId="77777777" w:rsidR="000254AA" w:rsidRDefault="000254AA"/>
    <w:p w14:paraId="54328515" w14:textId="77777777" w:rsidR="000254AA" w:rsidRDefault="0032761E">
      <w:pPr>
        <w:pStyle w:val="Heading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Hyperlink"/>
                <w:color w:val="0000FF"/>
                <w:lang w:val="en-US"/>
              </w:rPr>
            </w:pPr>
            <w:hyperlink r:id="rId88"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Hyperlink"/>
                <w:color w:val="0000FF"/>
                <w:lang w:val="en-US"/>
              </w:rPr>
            </w:pPr>
            <w:hyperlink r:id="rId89"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Hyperlink"/>
                <w:color w:val="0000FF"/>
                <w:lang w:val="en-US"/>
              </w:rPr>
            </w:pPr>
            <w:hyperlink r:id="rId90"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77777777" w:rsidR="000254AA" w:rsidRDefault="000254AA">
            <w:pPr>
              <w:jc w:val="left"/>
              <w:rPr>
                <w:rFonts w:eastAsiaTheme="minorEastAsia"/>
                <w:lang w:val="en-US" w:eastAsia="zh-CN"/>
              </w:rPr>
            </w:pPr>
          </w:p>
        </w:tc>
        <w:tc>
          <w:tcPr>
            <w:tcW w:w="1372" w:type="dxa"/>
          </w:tcPr>
          <w:p w14:paraId="5386C3BF" w14:textId="77777777" w:rsidR="000254AA" w:rsidRDefault="000254AA">
            <w:pPr>
              <w:tabs>
                <w:tab w:val="left" w:pos="551"/>
              </w:tabs>
              <w:jc w:val="left"/>
              <w:rPr>
                <w:rFonts w:eastAsiaTheme="minorEastAsia"/>
                <w:lang w:val="en-US" w:eastAsia="zh-CN"/>
              </w:rPr>
            </w:pPr>
          </w:p>
        </w:tc>
        <w:tc>
          <w:tcPr>
            <w:tcW w:w="7038" w:type="dxa"/>
          </w:tcPr>
          <w:p w14:paraId="741062A8" w14:textId="77777777" w:rsidR="000254AA" w:rsidRDefault="000254AA">
            <w:pPr>
              <w:jc w:val="left"/>
              <w:rPr>
                <w:rFonts w:eastAsiaTheme="minorEastAsia"/>
                <w:lang w:val="en-US" w:eastAsia="zh-CN"/>
              </w:rPr>
            </w:pP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1"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2"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Hyperlink"/>
                <w:color w:val="0000FF"/>
                <w:lang w:val="en-US"/>
              </w:rPr>
            </w:pPr>
            <w:hyperlink r:id="rId93"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Hyperlink"/>
                <w:color w:val="0000FF"/>
                <w:lang w:val="en-US"/>
              </w:rPr>
            </w:pPr>
            <w:hyperlink r:id="rId94"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Hyperlink"/>
                <w:color w:val="0000FF"/>
                <w:lang w:val="en-US"/>
              </w:rPr>
            </w:pPr>
            <w:hyperlink r:id="rId95"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Hyperlink"/>
                <w:color w:val="0000FF"/>
                <w:lang w:val="en-US"/>
              </w:rPr>
            </w:pPr>
            <w:hyperlink r:id="rId96"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Hyperlink"/>
                <w:color w:val="0000FF"/>
                <w:lang w:val="en-US" w:eastAsia="sv-SE"/>
              </w:rPr>
            </w:pPr>
            <w:hyperlink r:id="rId97"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Hyperlink"/>
                <w:color w:val="0000FF"/>
                <w:lang w:val="en-US" w:eastAsia="sv-SE"/>
              </w:rPr>
            </w:pPr>
            <w:hyperlink r:id="rId98"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Hyperlink"/>
                <w:color w:val="0000FF"/>
                <w:lang w:val="en-US" w:eastAsia="sv-SE"/>
              </w:rPr>
            </w:pPr>
            <w:hyperlink r:id="rId99"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Hyperlink"/>
                <w:color w:val="0000FF"/>
                <w:lang w:val="en-US" w:eastAsia="sv-SE"/>
              </w:rPr>
            </w:pPr>
            <w:hyperlink r:id="rId100"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Hyperlink"/>
                <w:color w:val="0000FF"/>
                <w:lang w:val="en-US" w:eastAsia="sv-SE"/>
              </w:rPr>
            </w:pPr>
            <w:hyperlink r:id="rId101"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Hyperlink"/>
                <w:color w:val="0000FF"/>
                <w:lang w:val="en-US" w:eastAsia="sv-SE"/>
              </w:rPr>
            </w:pPr>
            <w:hyperlink r:id="rId102"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Hyperlink"/>
                <w:color w:val="0000FF"/>
                <w:lang w:val="en-US" w:eastAsia="sv-SE"/>
              </w:rPr>
            </w:pPr>
            <w:hyperlink r:id="rId103"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Hyperlink"/>
                <w:color w:val="0000FF"/>
                <w:lang w:val="en-US" w:eastAsia="sv-SE"/>
              </w:rPr>
            </w:pPr>
            <w:hyperlink r:id="rId104"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Hyperlink"/>
                <w:color w:val="0000FF"/>
                <w:lang w:val="en-US" w:eastAsia="sv-SE"/>
              </w:rPr>
            </w:pPr>
            <w:hyperlink r:id="rId105"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Hyperlink"/>
                <w:color w:val="0000FF"/>
                <w:lang w:val="en-US" w:eastAsia="sv-SE"/>
              </w:rPr>
            </w:pPr>
            <w:hyperlink r:id="rId106"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Hyperlink"/>
                <w:color w:val="0000FF"/>
                <w:lang w:val="en-US" w:eastAsia="sv-SE"/>
              </w:rPr>
            </w:pPr>
            <w:hyperlink r:id="rId107"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Hyperlink"/>
                <w:color w:val="0000FF"/>
                <w:lang w:val="en-US" w:eastAsia="sv-SE"/>
              </w:rPr>
            </w:pPr>
            <w:hyperlink r:id="rId108"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Hyperlink"/>
                <w:color w:val="0000FF"/>
                <w:lang w:val="en-US" w:eastAsia="sv-SE"/>
              </w:rPr>
            </w:pPr>
            <w:hyperlink r:id="rId109"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Hyperlink"/>
                <w:color w:val="0000FF"/>
                <w:lang w:val="en-US" w:eastAsia="sv-SE"/>
              </w:rPr>
            </w:pPr>
            <w:hyperlink r:id="rId110"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Hyperlink"/>
                <w:color w:val="0000FF"/>
                <w:lang w:val="en-US" w:eastAsia="sv-SE"/>
              </w:rPr>
            </w:pPr>
            <w:hyperlink r:id="rId111"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Hyperlink"/>
                <w:color w:val="0000FF"/>
                <w:lang w:val="en-US" w:eastAsia="sv-SE"/>
              </w:rPr>
            </w:pPr>
            <w:hyperlink r:id="rId112"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Hyperlink"/>
                <w:color w:val="0000FF"/>
                <w:lang w:val="en-US" w:eastAsia="sv-SE"/>
              </w:rPr>
            </w:pPr>
            <w:hyperlink r:id="rId113"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Hyperlink"/>
                <w:color w:val="0000FF"/>
                <w:lang w:val="en-US" w:eastAsia="sv-SE"/>
              </w:rPr>
            </w:pPr>
            <w:hyperlink r:id="rId114"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Hyperlink"/>
                <w:color w:val="0000FF"/>
                <w:lang w:val="en-US" w:eastAsia="sv-SE"/>
              </w:rPr>
            </w:pPr>
            <w:hyperlink r:id="rId115"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Hyperlink"/>
                <w:color w:val="0000FF"/>
                <w:lang w:val="en-US" w:eastAsia="sv-SE"/>
              </w:rPr>
            </w:pPr>
            <w:hyperlink r:id="rId116"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lastRenderedPageBreak/>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Hyperlink"/>
                <w:color w:val="0000FF"/>
                <w:lang w:val="en-US" w:eastAsia="sv-SE"/>
              </w:rPr>
            </w:pPr>
            <w:hyperlink r:id="rId117"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Hyperlink"/>
                <w:color w:val="0000FF"/>
                <w:lang w:val="en-US" w:eastAsia="sv-SE"/>
              </w:rPr>
            </w:pPr>
            <w:hyperlink r:id="rId118"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Hyperlink"/>
                <w:color w:val="0000FF"/>
                <w:lang w:val="en-US" w:eastAsia="sv-SE"/>
              </w:rPr>
            </w:pPr>
            <w:hyperlink r:id="rId119"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20"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1"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 xml:space="preserve">RAN2, </w:t>
            </w:r>
            <w:proofErr w:type="gramStart"/>
            <w:r>
              <w:rPr>
                <w:lang w:val="en-US"/>
              </w:rPr>
              <w:t>Vivo</w:t>
            </w:r>
            <w:proofErr w:type="gramEnd"/>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2"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3"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4"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5"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6"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7"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8"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71D4" w14:textId="77777777" w:rsidR="00780029" w:rsidRDefault="00780029">
      <w:pPr>
        <w:spacing w:line="240" w:lineRule="auto"/>
      </w:pPr>
      <w:r>
        <w:separator/>
      </w:r>
    </w:p>
  </w:endnote>
  <w:endnote w:type="continuationSeparator" w:id="0">
    <w:p w14:paraId="40ACABAD" w14:textId="77777777" w:rsidR="00780029" w:rsidRDefault="0078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677F" w14:textId="77777777" w:rsidR="00780029" w:rsidRDefault="00780029">
      <w:pPr>
        <w:spacing w:after="0"/>
      </w:pPr>
      <w:r>
        <w:separator/>
      </w:r>
    </w:p>
  </w:footnote>
  <w:footnote w:type="continuationSeparator" w:id="0">
    <w:p w14:paraId="11AD8C49" w14:textId="77777777" w:rsidR="00780029" w:rsidRDefault="007800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3872806">
    <w:abstractNumId w:val="8"/>
  </w:num>
  <w:num w:numId="2" w16cid:durableId="1192259603">
    <w:abstractNumId w:val="1"/>
  </w:num>
  <w:num w:numId="3" w16cid:durableId="438375081">
    <w:abstractNumId w:val="0"/>
  </w:num>
  <w:num w:numId="4" w16cid:durableId="601188203">
    <w:abstractNumId w:val="12"/>
  </w:num>
  <w:num w:numId="5" w16cid:durableId="2097239725">
    <w:abstractNumId w:val="18"/>
    <w:lvlOverride w:ilvl="0">
      <w:startOverride w:val="1"/>
    </w:lvlOverride>
  </w:num>
  <w:num w:numId="6" w16cid:durableId="1062099446">
    <w:abstractNumId w:val="19"/>
  </w:num>
  <w:num w:numId="7" w16cid:durableId="184638908">
    <w:abstractNumId w:val="22"/>
  </w:num>
  <w:num w:numId="8" w16cid:durableId="2109887922">
    <w:abstractNumId w:val="28"/>
  </w:num>
  <w:num w:numId="9" w16cid:durableId="129137149">
    <w:abstractNumId w:val="5"/>
  </w:num>
  <w:num w:numId="10" w16cid:durableId="1620600998">
    <w:abstractNumId w:val="15"/>
  </w:num>
  <w:num w:numId="11" w16cid:durableId="1512992534">
    <w:abstractNumId w:val="10"/>
  </w:num>
  <w:num w:numId="12" w16cid:durableId="1923028786">
    <w:abstractNumId w:val="26"/>
  </w:num>
  <w:num w:numId="13" w16cid:durableId="1190030803">
    <w:abstractNumId w:val="4"/>
  </w:num>
  <w:num w:numId="14" w16cid:durableId="245237369">
    <w:abstractNumId w:val="24"/>
  </w:num>
  <w:num w:numId="15" w16cid:durableId="1953897834">
    <w:abstractNumId w:val="13"/>
  </w:num>
  <w:num w:numId="16" w16cid:durableId="1593123376">
    <w:abstractNumId w:val="25"/>
  </w:num>
  <w:num w:numId="17" w16cid:durableId="650990288">
    <w:abstractNumId w:val="17"/>
  </w:num>
  <w:num w:numId="18" w16cid:durableId="1150512589">
    <w:abstractNumId w:val="23"/>
  </w:num>
  <w:num w:numId="19" w16cid:durableId="1713460477">
    <w:abstractNumId w:val="7"/>
  </w:num>
  <w:num w:numId="20" w16cid:durableId="1991254221">
    <w:abstractNumId w:val="29"/>
  </w:num>
  <w:num w:numId="21" w16cid:durableId="912155175">
    <w:abstractNumId w:val="2"/>
  </w:num>
  <w:num w:numId="22" w16cid:durableId="547374961">
    <w:abstractNumId w:val="11"/>
  </w:num>
  <w:num w:numId="23" w16cid:durableId="298221105">
    <w:abstractNumId w:val="16"/>
  </w:num>
  <w:num w:numId="24" w16cid:durableId="1863855131">
    <w:abstractNumId w:val="21"/>
  </w:num>
  <w:num w:numId="25" w16cid:durableId="1514685149">
    <w:abstractNumId w:val="3"/>
  </w:num>
  <w:num w:numId="26" w16cid:durableId="1138841598">
    <w:abstractNumId w:val="20"/>
  </w:num>
  <w:num w:numId="27" w16cid:durableId="1427189059">
    <w:abstractNumId w:val="6"/>
  </w:num>
  <w:num w:numId="28" w16cid:durableId="1144927330">
    <w:abstractNumId w:val="30"/>
  </w:num>
  <w:num w:numId="29" w16cid:durableId="580725924">
    <w:abstractNumId w:val="14"/>
  </w:num>
  <w:num w:numId="30" w16cid:durableId="538663494">
    <w:abstractNumId w:val="9"/>
  </w:num>
  <w:num w:numId="31" w16cid:durableId="193300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styleId="UnresolvedMention">
    <w:name w:val="Unresolved Mention"/>
    <w:basedOn w:val="DefaultParagraphFont"/>
    <w:uiPriority w:val="99"/>
    <w:semiHidden/>
    <w:unhideWhenUsed/>
    <w:rsid w:val="0041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545.zip" TargetMode="External"/><Relationship Id="rId42" Type="http://schemas.openxmlformats.org/officeDocument/2006/relationships/hyperlink" Target="https://www.3gpp.org/ftp/TSG_RAN/WG1_RL1/TSGR1_115/Docs/R1-2311626.zip" TargetMode="External"/><Relationship Id="rId47" Type="http://schemas.openxmlformats.org/officeDocument/2006/relationships/hyperlink" Target="https://www.3gpp.org/ftp/TSG_RAN/WG1_RL1/TSGR1_115/Docs/R1-2310857.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101.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0820.zip" TargetMode="External"/><Relationship Id="rId37" Type="http://schemas.openxmlformats.org/officeDocument/2006/relationships/hyperlink" Target="https://www.3gpp.org/ftp/TSG_RAN/WG1_RL1/TSGR1_115/Docs/R1-2310820.zip" TargetMode="External"/><Relationship Id="rId53" Type="http://schemas.openxmlformats.org/officeDocument/2006/relationships/hyperlink" Target="https://www.3gpp.org/ftp/TSG_RAN/WG1_RL1/TSGR1_115/Docs/R1-2311346.zip" TargetMode="External"/><Relationship Id="rId58" Type="http://schemas.openxmlformats.org/officeDocument/2006/relationships/hyperlink" Target="https://www.3gpp.org/ftp/TSG_RAN/WG1_RL1/TSGR1_115/Docs/R1-2311749.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26.zip" TargetMode="External"/><Relationship Id="rId27" Type="http://schemas.openxmlformats.org/officeDocument/2006/relationships/hyperlink" Target="https://www.3gpp.org/ftp/TSG_RAN/WG1_RL1/TSGR1_115/Docs/R1-2311978.zip" TargetMode="External"/><Relationship Id="rId43" Type="http://schemas.openxmlformats.org/officeDocument/2006/relationships/hyperlink" Target="https://www.3gpp.org/ftp/TSG_RAN/WG1_RL1/TSGR1_115/Docs/R1-2311749.zip" TargetMode="External"/><Relationship Id="rId48" Type="http://schemas.openxmlformats.org/officeDocument/2006/relationships/hyperlink" Target="https://www.3gpp.org/ftp/TSG_RAN/WG1_RL1/TSGR1_115/Docs/R1-2310992.zip" TargetMode="External"/><Relationship Id="rId64" Type="http://schemas.openxmlformats.org/officeDocument/2006/relationships/hyperlink" Target="https://www.3gpp.org/ftp/TSG_RAN/WG1_RL1/TSGR1_115/Docs/R1-2312204.zip" TargetMode="External"/><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262.zip" TargetMode="External"/><Relationship Id="rId33" Type="http://schemas.openxmlformats.org/officeDocument/2006/relationships/hyperlink" Target="https://www.3gpp.org/ftp/TSG_RAN/WG1_RL1/TSGR1_115/Docs/R1-2311101.zip" TargetMode="External"/><Relationship Id="rId38"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786.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48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88.zip" TargetMode="External"/><Relationship Id="rId28" Type="http://schemas.openxmlformats.org/officeDocument/2006/relationships/hyperlink" Target="https://www.3gpp.org/ftp/TSG_RAN/WG1_RL1/TSGR1_115/Docs/R1-2312040.zip" TargetMode="External"/><Relationship Id="rId49" Type="http://schemas.openxmlformats.org/officeDocument/2006/relationships/hyperlink" Target="https://www.3gpp.org/ftp/TSG_RAN/WG1_RL1/TSGR1_115/Docs/R1-2311000.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2040.zip" TargetMode="External"/><Relationship Id="rId60" Type="http://schemas.openxmlformats.org/officeDocument/2006/relationships/hyperlink" Target="https://www.3gpp.org/ftp/TSG_RAN/WG1_RL1/TSGR1_115/Docs/R1-2311894.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262.zip" TargetMode="External"/><Relationship Id="rId18" Type="http://schemas.openxmlformats.org/officeDocument/2006/relationships/hyperlink" Target="https://www.3gpp.org/ftp/TSG_RAN/WG1_RL1/TSGR1_115/Docs/R1-2311346.zip" TargetMode="External"/><Relationship Id="rId39" Type="http://schemas.openxmlformats.org/officeDocument/2006/relationships/hyperlink" Target="https://www.3gpp.org/ftp/TSG_RAN/WG1_RL1/TSGR1_115/Docs/R1-231134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541.zip" TargetMode="External"/><Relationship Id="rId50" Type="http://schemas.openxmlformats.org/officeDocument/2006/relationships/hyperlink" Target="https://www.3gpp.org/ftp/TSG_RAN/WG1_RL1/TSGR1_115/Docs/R1-2311101.zip" TargetMode="External"/><Relationship Id="rId55" Type="http://schemas.openxmlformats.org/officeDocument/2006/relationships/hyperlink" Target="https://www.3gpp.org/ftp/TSG_RAN/WG1_RL1/TSGR1_115/Docs/R1-231162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126.zip" TargetMode="External"/><Relationship Id="rId24" Type="http://schemas.openxmlformats.org/officeDocument/2006/relationships/hyperlink" Target="https://www.3gpp.org/ftp/TSG_RAN/WG1_RL1/TSGR1_115/Docs/R1-2311746.zip" TargetMode="External"/><Relationship Id="rId40" Type="http://schemas.openxmlformats.org/officeDocument/2006/relationships/hyperlink" Target="https://www.3gpp.org/ftp/TSG_RAN/WG1_RL1/TSGR1_115/Docs/R1-2311406.zip" TargetMode="External"/><Relationship Id="rId45" Type="http://schemas.openxmlformats.org/officeDocument/2006/relationships/image" Target="media/image1.png"/><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040.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06.zip" TargetMode="External"/><Relationship Id="rId14" Type="http://schemas.openxmlformats.org/officeDocument/2006/relationships/hyperlink" Target="https://www.3gpp.org/ftp/TSG_RAN/WG1_RL1/TSGR1_115/Docs/R1-2310992.zip" TargetMode="External"/><Relationship Id="rId30" Type="http://schemas.openxmlformats.org/officeDocument/2006/relationships/hyperlink" Target="https://www.3gpp.org/ftp/TSG_RAN/WG1_RL1/TSGR1_115/Docs/R1-2312204.zip" TargetMode="External"/><Relationship Id="rId35" Type="http://schemas.openxmlformats.org/officeDocument/2006/relationships/hyperlink" Target="https://www.3gpp.org/ftp/TSG_RAN/WG1_RL1/TSGR1_115/Docs/R1-2311626.zip" TargetMode="External"/><Relationship Id="rId56" Type="http://schemas.openxmlformats.org/officeDocument/2006/relationships/hyperlink" Target="https://www.3gpp.org/ftp/TSG_RAN/WG1_RL1/TSGR1_115/Docs/R1-2311688.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69.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86.zip" TargetMode="External"/><Relationship Id="rId46" Type="http://schemas.openxmlformats.org/officeDocument/2006/relationships/hyperlink" Target="https://www.3gpp.org/ftp/TSG_RAN/WG1_RL1/TSGR1_115/Docs/R1-2310820.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486.zip" TargetMode="External"/><Relationship Id="rId41" Type="http://schemas.openxmlformats.org/officeDocument/2006/relationships/hyperlink" Target="https://www.3gpp.org/ftp/TSG_RAN/WG1_RL1/TSGR1_115/Docs/R1-2311486.zip" TargetMode="External"/><Relationship Id="rId62" Type="http://schemas.openxmlformats.org/officeDocument/2006/relationships/hyperlink" Target="https://www.3gpp.org/ftp/TSG_RAN/WG1_RL1/TSGR1_115/Docs/R1-2312126.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000.zip" TargetMode="External"/><Relationship Id="rId36" Type="http://schemas.openxmlformats.org/officeDocument/2006/relationships/hyperlink" Target="https://www.3gpp.org/ftp/TSG_RAN/WG1_RL1/TSGR1_115/Docs/R1-2311746.zip" TargetMode="External"/><Relationship Id="rId57" Type="http://schemas.openxmlformats.org/officeDocument/2006/relationships/hyperlink" Target="https://www.3gpp.org/ftp/TSG_RAN/WG1_RL1/TSGR1_115/Docs/R1-231174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936.zip" TargetMode="External"/><Relationship Id="rId52" Type="http://schemas.openxmlformats.org/officeDocument/2006/relationships/hyperlink" Target="https://www.3gpp.org/ftp/TSG_RAN/WG1_RL1/TSGR1_115/Docs/R1-2311262.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9971</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3</cp:revision>
  <dcterms:created xsi:type="dcterms:W3CDTF">2023-11-13T14:54:00Z</dcterms:created>
  <dcterms:modified xsi:type="dcterms:W3CDTF">2023-11-13T15:05:00Z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