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D5E64" w14:textId="665BFCD7" w:rsidR="006507E3" w:rsidRPr="00820647" w:rsidRDefault="006507E3" w:rsidP="006507E3">
      <w:pPr>
        <w:tabs>
          <w:tab w:val="right" w:pos="9216"/>
        </w:tabs>
        <w:spacing w:after="0"/>
        <w:rPr>
          <w:b/>
          <w:kern w:val="2"/>
        </w:rPr>
      </w:pPr>
      <w:bookmarkStart w:id="0" w:name="_Ref399006623"/>
      <w:bookmarkStart w:id="1" w:name="_Toc92513360"/>
      <w:r>
        <w:rPr>
          <w:b/>
          <w:kern w:val="2"/>
        </w:rPr>
        <w:t>3GPP TSG-</w:t>
      </w:r>
      <w:r w:rsidRPr="00820647">
        <w:rPr>
          <w:b/>
          <w:kern w:val="2"/>
        </w:rPr>
        <w:t xml:space="preserve">RAN WG1 </w:t>
      </w:r>
      <w:r>
        <w:rPr>
          <w:b/>
          <w:kern w:val="2"/>
        </w:rPr>
        <w:t xml:space="preserve">Meeting </w:t>
      </w:r>
      <w:r w:rsidRPr="00820647">
        <w:rPr>
          <w:b/>
          <w:kern w:val="2"/>
        </w:rPr>
        <w:t>#1</w:t>
      </w:r>
      <w:r>
        <w:rPr>
          <w:b/>
          <w:kern w:val="2"/>
        </w:rPr>
        <w:t>1</w:t>
      </w:r>
      <w:r w:rsidR="007A3675">
        <w:rPr>
          <w:b/>
          <w:kern w:val="2"/>
        </w:rPr>
        <w:t>4</w:t>
      </w:r>
      <w:r w:rsidRPr="00820647">
        <w:rPr>
          <w:b/>
          <w:kern w:val="2"/>
        </w:rPr>
        <w:tab/>
      </w:r>
      <w:r w:rsidRPr="00867812">
        <w:rPr>
          <w:b/>
          <w:kern w:val="2"/>
        </w:rPr>
        <w:t>R1-</w:t>
      </w:r>
      <w:r>
        <w:rPr>
          <w:b/>
          <w:kern w:val="2"/>
        </w:rPr>
        <w:t>23</w:t>
      </w:r>
      <w:r w:rsidR="008B2F4A">
        <w:rPr>
          <w:b/>
          <w:kern w:val="2"/>
        </w:rPr>
        <w:t>08143</w:t>
      </w:r>
      <w:bookmarkStart w:id="2" w:name="_GoBack"/>
      <w:bookmarkEnd w:id="2"/>
    </w:p>
    <w:p w14:paraId="76EAEB4E" w14:textId="6CC1ED9B" w:rsidR="006507E3" w:rsidRPr="007A3675" w:rsidRDefault="007A3675" w:rsidP="001B67B3">
      <w:pPr>
        <w:kinsoku w:val="0"/>
        <w:spacing w:after="60"/>
        <w:rPr>
          <w:b/>
          <w:kern w:val="2"/>
          <w:lang w:val="en-US"/>
        </w:rPr>
      </w:pPr>
      <w:r>
        <w:rPr>
          <w:b/>
        </w:rPr>
        <w:t>Toulouse</w:t>
      </w:r>
      <w:r>
        <w:rPr>
          <w:b/>
          <w:kern w:val="2"/>
        </w:rPr>
        <w:t>, France, August 21 – 25</w:t>
      </w:r>
      <w:r>
        <w:rPr>
          <w:b/>
          <w:bCs/>
        </w:rPr>
        <w:t>, 202</w:t>
      </w:r>
      <w:r w:rsidR="006507E3" w:rsidRPr="002D6179">
        <w:rPr>
          <w:b/>
          <w:kern w:val="2"/>
        </w:rPr>
        <w:t>3</w:t>
      </w:r>
    </w:p>
    <w:p w14:paraId="2D520C65" w14:textId="77777777" w:rsidR="006507E3" w:rsidRPr="00BA6147" w:rsidRDefault="006507E3" w:rsidP="006507E3">
      <w:pPr>
        <w:pBdr>
          <w:top w:val="single" w:sz="4" w:space="1" w:color="auto"/>
        </w:pBdr>
        <w:spacing w:after="0"/>
        <w:rPr>
          <w:b/>
          <w:kern w:val="2"/>
          <w:sz w:val="16"/>
          <w:szCs w:val="16"/>
        </w:rPr>
      </w:pPr>
    </w:p>
    <w:p w14:paraId="3FB23850" w14:textId="3BBDA619" w:rsidR="006507E3" w:rsidRPr="00820647" w:rsidRDefault="006507E3" w:rsidP="006507E3">
      <w:pPr>
        <w:spacing w:after="60"/>
        <w:ind w:left="1555" w:hanging="1555"/>
        <w:rPr>
          <w:b/>
          <w:kern w:val="2"/>
        </w:rPr>
      </w:pPr>
      <w:r w:rsidRPr="00820647">
        <w:rPr>
          <w:b/>
          <w:kern w:val="2"/>
        </w:rPr>
        <w:t>Agenda Item:</w:t>
      </w:r>
      <w:r w:rsidRPr="00820647">
        <w:rPr>
          <w:b/>
          <w:kern w:val="2"/>
        </w:rPr>
        <w:tab/>
      </w:r>
      <w:r w:rsidR="00A86CE8">
        <w:rPr>
          <w:b/>
          <w:kern w:val="2"/>
        </w:rPr>
        <w:t>5</w:t>
      </w:r>
    </w:p>
    <w:p w14:paraId="332722B0" w14:textId="77777777" w:rsidR="006507E3" w:rsidRPr="00820647" w:rsidRDefault="006507E3" w:rsidP="006507E3">
      <w:pPr>
        <w:spacing w:after="60"/>
        <w:ind w:left="1555" w:hanging="1555"/>
        <w:rPr>
          <w:b/>
          <w:kern w:val="2"/>
        </w:rPr>
      </w:pPr>
      <w:r w:rsidRPr="00820647">
        <w:rPr>
          <w:b/>
          <w:kern w:val="2"/>
        </w:rPr>
        <w:t>Source:</w:t>
      </w:r>
      <w:r w:rsidRPr="00820647">
        <w:rPr>
          <w:b/>
          <w:kern w:val="2"/>
        </w:rPr>
        <w:tab/>
        <w:t xml:space="preserve">Huawei, </w:t>
      </w:r>
      <w:proofErr w:type="spellStart"/>
      <w:r w:rsidRPr="00820647">
        <w:rPr>
          <w:b/>
          <w:kern w:val="2"/>
        </w:rPr>
        <w:t>HiSilicon</w:t>
      </w:r>
      <w:proofErr w:type="spellEnd"/>
    </w:p>
    <w:p w14:paraId="7F6A9AAB" w14:textId="1A1F3EBF" w:rsidR="006507E3" w:rsidRPr="00820647" w:rsidRDefault="006507E3" w:rsidP="006507E3">
      <w:pPr>
        <w:spacing w:after="60"/>
        <w:ind w:left="1555" w:hanging="1555"/>
        <w:rPr>
          <w:b/>
          <w:kern w:val="2"/>
        </w:rPr>
      </w:pPr>
      <w:r w:rsidRPr="00820647">
        <w:rPr>
          <w:b/>
          <w:kern w:val="2"/>
        </w:rPr>
        <w:t>Title:</w:t>
      </w:r>
      <w:r w:rsidRPr="00820647">
        <w:rPr>
          <w:b/>
          <w:kern w:val="2"/>
        </w:rPr>
        <w:tab/>
      </w:r>
      <w:r w:rsidR="009B231D">
        <w:rPr>
          <w:b/>
          <w:kern w:val="2"/>
        </w:rPr>
        <w:t xml:space="preserve">Discussion </w:t>
      </w:r>
      <w:r w:rsidR="00610DF8">
        <w:rPr>
          <w:b/>
          <w:kern w:val="2"/>
        </w:rPr>
        <w:t>on</w:t>
      </w:r>
      <w:r w:rsidR="009B231D">
        <w:rPr>
          <w:b/>
          <w:kern w:val="2"/>
        </w:rPr>
        <w:t xml:space="preserve"> SRS antenna switching for TDD-FDD band combinations</w:t>
      </w:r>
    </w:p>
    <w:p w14:paraId="37BC7F11" w14:textId="77777777" w:rsidR="006507E3" w:rsidRPr="00820647" w:rsidRDefault="006507E3" w:rsidP="006507E3">
      <w:pPr>
        <w:spacing w:after="60"/>
        <w:ind w:left="1555" w:hanging="1555"/>
        <w:rPr>
          <w:b/>
          <w:kern w:val="2"/>
        </w:rPr>
      </w:pPr>
      <w:r w:rsidRPr="00820647">
        <w:rPr>
          <w:b/>
          <w:kern w:val="2"/>
        </w:rPr>
        <w:t>Document for:</w:t>
      </w:r>
      <w:r w:rsidRPr="00820647">
        <w:rPr>
          <w:b/>
          <w:kern w:val="2"/>
        </w:rPr>
        <w:tab/>
        <w:t xml:space="preserve">Discussion and Decision </w:t>
      </w:r>
    </w:p>
    <w:p w14:paraId="55638D36" w14:textId="77777777" w:rsidR="006507E3" w:rsidRPr="00820647" w:rsidRDefault="006507E3" w:rsidP="006507E3">
      <w:pPr>
        <w:pBdr>
          <w:bottom w:val="single" w:sz="4" w:space="1" w:color="auto"/>
        </w:pBdr>
        <w:spacing w:after="0"/>
        <w:rPr>
          <w:b/>
          <w:kern w:val="2"/>
          <w:sz w:val="16"/>
          <w:szCs w:val="16"/>
        </w:rPr>
      </w:pPr>
    </w:p>
    <w:p w14:paraId="672D28E1" w14:textId="77777777" w:rsidR="006507E3" w:rsidRDefault="006507E3" w:rsidP="007E0BD6">
      <w:pPr>
        <w:pStyle w:val="1"/>
        <w:keepLines w:val="0"/>
        <w:pBdr>
          <w:top w:val="none" w:sz="0" w:space="0" w:color="auto"/>
        </w:pBdr>
        <w:tabs>
          <w:tab w:val="clear" w:pos="397"/>
          <w:tab w:val="num" w:pos="432"/>
        </w:tabs>
        <w:overflowPunct/>
        <w:snapToGrid w:val="0"/>
        <w:spacing w:before="120" w:after="120"/>
        <w:ind w:left="432" w:hanging="432"/>
        <w:jc w:val="both"/>
        <w:textAlignment w:val="auto"/>
      </w:pPr>
      <w:bookmarkStart w:id="3" w:name="_Ref124589705"/>
      <w:bookmarkStart w:id="4" w:name="_Ref129681862"/>
      <w:r w:rsidRPr="007E0BD6">
        <w:rPr>
          <w:rFonts w:ascii="Times New Roman" w:hAnsi="Times New Roman"/>
          <w:b/>
          <w:sz w:val="28"/>
          <w:szCs w:val="28"/>
        </w:rPr>
        <w:t>Introduction</w:t>
      </w:r>
      <w:bookmarkEnd w:id="3"/>
      <w:bookmarkEnd w:id="4"/>
    </w:p>
    <w:bookmarkEnd w:id="0"/>
    <w:bookmarkEnd w:id="1"/>
    <w:p w14:paraId="1C249904" w14:textId="6FAB3ADB" w:rsidR="00DA7A31" w:rsidRPr="007E0BD6" w:rsidRDefault="006941C2" w:rsidP="007E0BD6">
      <w:pPr>
        <w:spacing w:after="120"/>
        <w:rPr>
          <w:sz w:val="22"/>
          <w:szCs w:val="22"/>
        </w:rPr>
      </w:pPr>
      <w:r w:rsidRPr="007E0BD6">
        <w:rPr>
          <w:sz w:val="22"/>
          <w:szCs w:val="22"/>
        </w:rPr>
        <w:t xml:space="preserve">In LS [1], </w:t>
      </w:r>
      <w:r w:rsidR="00B52B91" w:rsidRPr="007E0BD6">
        <w:rPr>
          <w:sz w:val="22"/>
          <w:szCs w:val="22"/>
        </w:rPr>
        <w:t>RAN4 identified several issues for use of SRS antenna switching feature in EN-DC/NR CA band combinations</w:t>
      </w:r>
      <w:r w:rsidR="00F77D2C" w:rsidRPr="007E0BD6">
        <w:rPr>
          <w:sz w:val="22"/>
          <w:szCs w:val="22"/>
        </w:rPr>
        <w:t xml:space="preserve">, which causes ambiguity in supporting the feature in the network. </w:t>
      </w:r>
      <w:r w:rsidR="00410BBA" w:rsidRPr="007E0BD6">
        <w:rPr>
          <w:sz w:val="22"/>
          <w:szCs w:val="22"/>
        </w:rPr>
        <w:t xml:space="preserve">In general, these issues can be summarized as the </w:t>
      </w:r>
      <w:r w:rsidR="00787EEC" w:rsidRPr="007E0BD6">
        <w:rPr>
          <w:sz w:val="22"/>
          <w:szCs w:val="22"/>
        </w:rPr>
        <w:t xml:space="preserve">impact on the Tx or Rx on the band without the capability of antenna switching, especially for the </w:t>
      </w:r>
      <w:r w:rsidR="00DD47A7" w:rsidRPr="007E0BD6">
        <w:rPr>
          <w:sz w:val="22"/>
          <w:szCs w:val="22"/>
        </w:rPr>
        <w:t>FDD band</w:t>
      </w:r>
      <w:r w:rsidR="00584BE8" w:rsidRPr="007E0BD6">
        <w:rPr>
          <w:sz w:val="22"/>
          <w:szCs w:val="22"/>
        </w:rPr>
        <w:t xml:space="preserve"> which may not have the requirement of the capability of </w:t>
      </w:r>
      <w:r w:rsidR="006B18BE" w:rsidRPr="007E0BD6">
        <w:rPr>
          <w:sz w:val="22"/>
          <w:szCs w:val="22"/>
        </w:rPr>
        <w:t xml:space="preserve">SRS </w:t>
      </w:r>
      <w:r w:rsidR="00584BE8" w:rsidRPr="007E0BD6">
        <w:rPr>
          <w:sz w:val="22"/>
          <w:szCs w:val="22"/>
        </w:rPr>
        <w:t>antenna switching.</w:t>
      </w:r>
      <w:r w:rsidR="000A487B" w:rsidRPr="007E0BD6">
        <w:rPr>
          <w:sz w:val="22"/>
          <w:szCs w:val="22"/>
        </w:rPr>
        <w:t xml:space="preserve"> </w:t>
      </w:r>
    </w:p>
    <w:p w14:paraId="585CAFB2" w14:textId="7E790D2A" w:rsidR="00EF7B26" w:rsidRPr="007E0BD6" w:rsidRDefault="00EF7B26" w:rsidP="007E0BD6">
      <w:pPr>
        <w:spacing w:after="120"/>
        <w:rPr>
          <w:sz w:val="22"/>
          <w:szCs w:val="22"/>
        </w:rPr>
      </w:pPr>
      <w:r w:rsidRPr="007E0BD6">
        <w:rPr>
          <w:sz w:val="22"/>
          <w:szCs w:val="22"/>
        </w:rPr>
        <w:t>This contribution discusses the identified issues by RAN4 and propose clarification to resolve them.</w:t>
      </w:r>
    </w:p>
    <w:p w14:paraId="6DD1D259" w14:textId="5748FD12" w:rsidR="00E354B5" w:rsidRPr="00544699" w:rsidRDefault="00544699" w:rsidP="00E354B5">
      <w:pPr>
        <w:pStyle w:val="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sidRPr="00544699">
        <w:rPr>
          <w:rFonts w:ascii="Times New Roman" w:hAnsi="Times New Roman" w:hint="eastAsia"/>
          <w:b/>
          <w:sz w:val="28"/>
          <w:szCs w:val="28"/>
        </w:rPr>
        <w:t>D</w:t>
      </w:r>
      <w:r w:rsidRPr="00544699">
        <w:rPr>
          <w:rFonts w:ascii="Times New Roman" w:hAnsi="Times New Roman"/>
          <w:b/>
          <w:sz w:val="28"/>
          <w:szCs w:val="28"/>
        </w:rPr>
        <w:t>iscussion on potential issues</w:t>
      </w:r>
      <w:r w:rsidR="00F10514">
        <w:rPr>
          <w:rFonts w:ascii="Times New Roman" w:hAnsi="Times New Roman"/>
          <w:b/>
          <w:sz w:val="28"/>
          <w:szCs w:val="28"/>
        </w:rPr>
        <w:t xml:space="preserve"> and solutions</w:t>
      </w:r>
    </w:p>
    <w:p w14:paraId="65745361" w14:textId="7F5D8F60" w:rsidR="00775554" w:rsidRPr="007E0BD6" w:rsidRDefault="000E670B" w:rsidP="00533101">
      <w:pPr>
        <w:spacing w:after="120"/>
        <w:rPr>
          <w:sz w:val="22"/>
          <w:szCs w:val="22"/>
        </w:rPr>
      </w:pPr>
      <w:r w:rsidRPr="007E0BD6">
        <w:rPr>
          <w:sz w:val="22"/>
          <w:szCs w:val="22"/>
        </w:rPr>
        <w:t>The issues identified in LS [1] were discussed in detail in LS and contributions [4-6].</w:t>
      </w:r>
      <w:r w:rsidR="00775554" w:rsidRPr="007E0BD6">
        <w:rPr>
          <w:sz w:val="22"/>
          <w:szCs w:val="22"/>
        </w:rPr>
        <w:t xml:space="preserve"> </w:t>
      </w:r>
      <w:r w:rsidR="00533101" w:rsidRPr="007E0BD6">
        <w:rPr>
          <w:sz w:val="22"/>
          <w:szCs w:val="22"/>
        </w:rPr>
        <w:t>T</w:t>
      </w:r>
      <w:r w:rsidR="00775554" w:rsidRPr="007E0BD6">
        <w:rPr>
          <w:sz w:val="22"/>
          <w:szCs w:val="22"/>
        </w:rPr>
        <w:t xml:space="preserve">he feature of SRS antenna switching </w:t>
      </w:r>
      <w:r w:rsidR="00902DA0" w:rsidRPr="007E0BD6">
        <w:rPr>
          <w:sz w:val="22"/>
          <w:szCs w:val="22"/>
        </w:rPr>
        <w:t xml:space="preserve">has been widely deployed </w:t>
      </w:r>
      <w:r w:rsidR="00775554" w:rsidRPr="007E0BD6">
        <w:rPr>
          <w:sz w:val="22"/>
          <w:szCs w:val="22"/>
        </w:rPr>
        <w:t xml:space="preserve">in TDD </w:t>
      </w:r>
      <w:r w:rsidR="00902DA0" w:rsidRPr="007E0BD6">
        <w:rPr>
          <w:sz w:val="22"/>
          <w:szCs w:val="22"/>
        </w:rPr>
        <w:t>bands</w:t>
      </w:r>
      <w:r w:rsidR="00775554" w:rsidRPr="007E0BD6">
        <w:rPr>
          <w:sz w:val="22"/>
          <w:szCs w:val="22"/>
        </w:rPr>
        <w:t xml:space="preserve">. Moreover, the FDD-TDD CA is also widely supported to improve UPT </w:t>
      </w:r>
      <w:r w:rsidR="00377586" w:rsidRPr="007E0BD6">
        <w:rPr>
          <w:sz w:val="22"/>
          <w:szCs w:val="22"/>
        </w:rPr>
        <w:t xml:space="preserve">especially under </w:t>
      </w:r>
      <w:r w:rsidR="00775554" w:rsidRPr="007E0BD6">
        <w:rPr>
          <w:sz w:val="22"/>
          <w:szCs w:val="22"/>
        </w:rPr>
        <w:t xml:space="preserve">heavy traffic scenarios. </w:t>
      </w:r>
      <w:r w:rsidR="00754B41" w:rsidRPr="007E0BD6">
        <w:rPr>
          <w:sz w:val="22"/>
          <w:szCs w:val="22"/>
        </w:rPr>
        <w:t>For FDD-TDD band combinations</w:t>
      </w:r>
      <w:r w:rsidR="00177246" w:rsidRPr="007E0BD6">
        <w:rPr>
          <w:sz w:val="22"/>
          <w:szCs w:val="22"/>
        </w:rPr>
        <w:t xml:space="preserve">, </w:t>
      </w:r>
      <w:r w:rsidR="00754B41" w:rsidRPr="007E0BD6">
        <w:rPr>
          <w:sz w:val="22"/>
          <w:szCs w:val="22"/>
        </w:rPr>
        <w:t>depending on</w:t>
      </w:r>
      <w:r w:rsidR="00177246" w:rsidRPr="007E0BD6">
        <w:rPr>
          <w:sz w:val="22"/>
          <w:szCs w:val="22"/>
        </w:rPr>
        <w:t xml:space="preserve"> UE architectures, some TDD and FDD bands share common RF front-end components. </w:t>
      </w:r>
      <w:r w:rsidR="00754B41" w:rsidRPr="007E0BD6">
        <w:rPr>
          <w:sz w:val="22"/>
          <w:szCs w:val="22"/>
        </w:rPr>
        <w:t>As a result, when UE performs antenna switching on a certain TDD band, UE has to switch the antenna on the FDD bands that share the same RF. This antenna switching on FDD band will result in impact to UL transmission and downlink receiving.</w:t>
      </w:r>
    </w:p>
    <w:p w14:paraId="621C82F3" w14:textId="20966FA3" w:rsidR="00377586" w:rsidRPr="007E0BD6" w:rsidRDefault="00964856" w:rsidP="007E0BD6">
      <w:pPr>
        <w:spacing w:after="120"/>
        <w:rPr>
          <w:sz w:val="22"/>
          <w:szCs w:val="22"/>
        </w:rPr>
      </w:pPr>
      <w:r>
        <w:rPr>
          <w:sz w:val="22"/>
          <w:szCs w:val="22"/>
        </w:rPr>
        <w:t xml:space="preserve">The impact to UL transmission is shown in Figure 1, </w:t>
      </w:r>
      <w:r w:rsidR="00264C03" w:rsidRPr="007E0BD6">
        <w:rPr>
          <w:sz w:val="22"/>
          <w:szCs w:val="22"/>
        </w:rPr>
        <w:t>where all the slot</w:t>
      </w:r>
      <w:r w:rsidR="00791C6A">
        <w:rPr>
          <w:sz w:val="22"/>
          <w:szCs w:val="22"/>
        </w:rPr>
        <w:t>s</w:t>
      </w:r>
      <w:r w:rsidR="00264C03" w:rsidRPr="007E0BD6">
        <w:rPr>
          <w:sz w:val="22"/>
          <w:szCs w:val="22"/>
        </w:rPr>
        <w:t xml:space="preserve"> </w:t>
      </w:r>
      <w:r w:rsidR="001E5E28" w:rsidRPr="007E0BD6">
        <w:rPr>
          <w:sz w:val="22"/>
          <w:szCs w:val="22"/>
        </w:rPr>
        <w:t xml:space="preserve">are </w:t>
      </w:r>
      <w:r w:rsidR="00264C03" w:rsidRPr="007E0BD6">
        <w:rPr>
          <w:sz w:val="22"/>
          <w:szCs w:val="22"/>
        </w:rPr>
        <w:t>used for uplink transmission</w:t>
      </w:r>
      <w:r w:rsidR="00B96355" w:rsidRPr="007E0BD6">
        <w:rPr>
          <w:sz w:val="22"/>
          <w:szCs w:val="22"/>
        </w:rPr>
        <w:t xml:space="preserve">. If FDD </w:t>
      </w:r>
      <w:r w:rsidR="00264C03" w:rsidRPr="007E0BD6">
        <w:rPr>
          <w:sz w:val="22"/>
          <w:szCs w:val="22"/>
        </w:rPr>
        <w:t xml:space="preserve">band </w:t>
      </w:r>
      <w:r w:rsidR="00B96355" w:rsidRPr="007E0BD6">
        <w:rPr>
          <w:sz w:val="22"/>
          <w:szCs w:val="22"/>
        </w:rPr>
        <w:t>has uplink traffic (SRS, PUSCH, PUCCH)</w:t>
      </w:r>
      <w:r w:rsidR="00264C03" w:rsidRPr="007E0BD6">
        <w:rPr>
          <w:sz w:val="22"/>
          <w:szCs w:val="22"/>
        </w:rPr>
        <w:t xml:space="preserve"> while the TDD band need</w:t>
      </w:r>
      <w:r w:rsidR="001F3AA1" w:rsidRPr="007E0BD6">
        <w:rPr>
          <w:sz w:val="22"/>
          <w:szCs w:val="22"/>
        </w:rPr>
        <w:t>s</w:t>
      </w:r>
      <w:r w:rsidR="00264C03" w:rsidRPr="007E0BD6">
        <w:rPr>
          <w:sz w:val="22"/>
          <w:szCs w:val="22"/>
        </w:rPr>
        <w:t xml:space="preserve"> to execute the SRS antenna switching for DL scheduling, the AP</w:t>
      </w:r>
      <w:r w:rsidR="002F3B2D" w:rsidRPr="007E0BD6">
        <w:rPr>
          <w:sz w:val="22"/>
          <w:szCs w:val="22"/>
        </w:rPr>
        <w:t>1</w:t>
      </w:r>
      <w:r w:rsidR="00264C03" w:rsidRPr="007E0BD6">
        <w:rPr>
          <w:sz w:val="22"/>
          <w:szCs w:val="22"/>
        </w:rPr>
        <w:t xml:space="preserve"> for TDD</w:t>
      </w:r>
      <w:r w:rsidR="002F3B2D" w:rsidRPr="007E0BD6">
        <w:rPr>
          <w:sz w:val="22"/>
          <w:szCs w:val="22"/>
        </w:rPr>
        <w:t xml:space="preserve"> band</w:t>
      </w:r>
      <w:r w:rsidR="00264C03" w:rsidRPr="007E0BD6">
        <w:rPr>
          <w:sz w:val="22"/>
          <w:szCs w:val="22"/>
        </w:rPr>
        <w:t xml:space="preserve"> </w:t>
      </w:r>
      <w:r w:rsidR="002F3B2D" w:rsidRPr="007E0BD6">
        <w:rPr>
          <w:sz w:val="22"/>
          <w:szCs w:val="22"/>
        </w:rPr>
        <w:t>UL transmission</w:t>
      </w:r>
      <w:r w:rsidR="00264C03" w:rsidRPr="007E0BD6">
        <w:rPr>
          <w:sz w:val="22"/>
          <w:szCs w:val="22"/>
        </w:rPr>
        <w:t xml:space="preserve"> may be used</w:t>
      </w:r>
      <w:r w:rsidR="009218EA" w:rsidRPr="007E0BD6">
        <w:rPr>
          <w:sz w:val="22"/>
          <w:szCs w:val="22"/>
        </w:rPr>
        <w:t xml:space="preserve">, </w:t>
      </w:r>
      <w:r w:rsidR="002F3B2D" w:rsidRPr="007E0BD6">
        <w:rPr>
          <w:sz w:val="22"/>
          <w:szCs w:val="22"/>
        </w:rPr>
        <w:t>and</w:t>
      </w:r>
      <w:r w:rsidR="002B3F08" w:rsidRPr="007E0BD6">
        <w:rPr>
          <w:sz w:val="22"/>
          <w:szCs w:val="22"/>
        </w:rPr>
        <w:t xml:space="preserve"> the FDD band UL transmission </w:t>
      </w:r>
      <w:r w:rsidR="002F3B2D" w:rsidRPr="007E0BD6">
        <w:rPr>
          <w:sz w:val="22"/>
          <w:szCs w:val="22"/>
        </w:rPr>
        <w:t>may not be able to use AP0</w:t>
      </w:r>
      <w:r w:rsidR="00772EA0" w:rsidRPr="007E0BD6">
        <w:rPr>
          <w:sz w:val="22"/>
          <w:szCs w:val="22"/>
        </w:rPr>
        <w:t xml:space="preserve"> in the </w:t>
      </w:r>
      <w:r w:rsidR="001F3AA1" w:rsidRPr="007E0BD6">
        <w:rPr>
          <w:sz w:val="22"/>
          <w:szCs w:val="22"/>
        </w:rPr>
        <w:t xml:space="preserve">highlighted </w:t>
      </w:r>
      <w:r w:rsidR="00772EA0" w:rsidRPr="007E0BD6">
        <w:rPr>
          <w:sz w:val="22"/>
          <w:szCs w:val="22"/>
        </w:rPr>
        <w:t>slot</w:t>
      </w:r>
      <w:r w:rsidR="0087757F" w:rsidRPr="007E0BD6">
        <w:rPr>
          <w:sz w:val="22"/>
          <w:szCs w:val="22"/>
        </w:rPr>
        <w:t>s</w:t>
      </w:r>
      <w:r w:rsidR="002F3B2D" w:rsidRPr="007E0BD6">
        <w:rPr>
          <w:sz w:val="22"/>
          <w:szCs w:val="22"/>
        </w:rPr>
        <w:t>.</w:t>
      </w:r>
    </w:p>
    <w:p w14:paraId="68B2AA60" w14:textId="5B9F3FE1" w:rsidR="009567AB" w:rsidRPr="007E0BD6" w:rsidRDefault="00AD649D" w:rsidP="007E0BD6">
      <w:pPr>
        <w:spacing w:after="120"/>
        <w:jc w:val="center"/>
        <w:rPr>
          <w:sz w:val="22"/>
          <w:szCs w:val="22"/>
        </w:rPr>
      </w:pPr>
      <w:r w:rsidRPr="007E0BD6">
        <w:rPr>
          <w:noProof/>
          <w:sz w:val="22"/>
          <w:szCs w:val="22"/>
        </w:rPr>
        <w:drawing>
          <wp:inline distT="0" distB="0" distL="0" distR="0" wp14:anchorId="4F14C3D3" wp14:editId="4426EDAE">
            <wp:extent cx="4673600" cy="5380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3535" cy="541499"/>
                    </a:xfrm>
                    <a:prstGeom prst="rect">
                      <a:avLst/>
                    </a:prstGeom>
                    <a:noFill/>
                    <a:ln>
                      <a:noFill/>
                    </a:ln>
                  </pic:spPr>
                </pic:pic>
              </a:graphicData>
            </a:graphic>
          </wp:inline>
        </w:drawing>
      </w:r>
      <w:r w:rsidRPr="007E0BD6" w:rsidDel="00AD649D">
        <w:rPr>
          <w:sz w:val="22"/>
          <w:szCs w:val="22"/>
        </w:rPr>
        <w:t xml:space="preserve"> </w:t>
      </w:r>
    </w:p>
    <w:p w14:paraId="68021FD4" w14:textId="04D39D52" w:rsidR="005D3C82" w:rsidRPr="007E0BD6" w:rsidRDefault="00772EA0" w:rsidP="007E0BD6">
      <w:pPr>
        <w:spacing w:after="120"/>
        <w:jc w:val="center"/>
        <w:rPr>
          <w:sz w:val="22"/>
          <w:szCs w:val="22"/>
        </w:rPr>
      </w:pPr>
      <w:r w:rsidRPr="007E0BD6">
        <w:rPr>
          <w:sz w:val="22"/>
          <w:szCs w:val="22"/>
        </w:rPr>
        <w:t>Figure 1</w:t>
      </w:r>
      <w:r w:rsidR="00F8097A" w:rsidRPr="007E0BD6">
        <w:rPr>
          <w:sz w:val="22"/>
          <w:szCs w:val="22"/>
        </w:rPr>
        <w:t>.</w:t>
      </w:r>
      <w:r w:rsidRPr="007E0BD6">
        <w:rPr>
          <w:sz w:val="22"/>
          <w:szCs w:val="22"/>
        </w:rPr>
        <w:t xml:space="preserve"> Antenna Switching for TDD band </w:t>
      </w:r>
      <w:r w:rsidR="007C6B82" w:rsidRPr="007E0BD6">
        <w:rPr>
          <w:sz w:val="22"/>
          <w:szCs w:val="22"/>
        </w:rPr>
        <w:t>impacts the</w:t>
      </w:r>
      <w:r w:rsidRPr="007E0BD6">
        <w:rPr>
          <w:sz w:val="22"/>
          <w:szCs w:val="22"/>
        </w:rPr>
        <w:t xml:space="preserve"> FDD band UL transmission</w:t>
      </w:r>
    </w:p>
    <w:p w14:paraId="66BC311F" w14:textId="3E3B4DA2" w:rsidR="00D14F24" w:rsidRDefault="00D14F24" w:rsidP="007E0BD6">
      <w:pPr>
        <w:spacing w:after="120"/>
        <w:rPr>
          <w:bCs/>
          <w:iCs/>
          <w:sz w:val="22"/>
          <w:szCs w:val="22"/>
        </w:rPr>
      </w:pPr>
      <w:r w:rsidRPr="007E0BD6">
        <w:rPr>
          <w:bCs/>
          <w:iCs/>
          <w:sz w:val="22"/>
          <w:szCs w:val="22"/>
        </w:rPr>
        <w:t>On the other hand, if the FDD band and TDD band do not share the same RF, then there’s no need to specify that both bands must use the same antenna port.</w:t>
      </w:r>
      <w:r w:rsidR="00C91719" w:rsidRPr="007E0BD6">
        <w:rPr>
          <w:bCs/>
          <w:iCs/>
          <w:sz w:val="22"/>
          <w:szCs w:val="22"/>
        </w:rPr>
        <w:t xml:space="preserve"> Otherwise, there will be unnecessary performance loss.</w:t>
      </w:r>
    </w:p>
    <w:p w14:paraId="12BB023E" w14:textId="2B51BAC6" w:rsidR="006B73B3" w:rsidRPr="00D4574E" w:rsidRDefault="006B73B3" w:rsidP="006B73B3">
      <w:pPr>
        <w:spacing w:after="120"/>
        <w:rPr>
          <w:b/>
          <w:bCs/>
          <w:i/>
          <w:iCs/>
          <w:sz w:val="22"/>
          <w:szCs w:val="22"/>
        </w:rPr>
      </w:pPr>
      <w:r w:rsidRPr="00D4574E">
        <w:rPr>
          <w:b/>
          <w:bCs/>
          <w:i/>
          <w:iCs/>
          <w:sz w:val="22"/>
          <w:szCs w:val="22"/>
        </w:rPr>
        <w:t>Observation 1: For FDD-TDD band combinations, the SRS antenna switching in TDD band impacts on the uplink transmission of the FDD band.</w:t>
      </w:r>
    </w:p>
    <w:p w14:paraId="33B52575" w14:textId="02FA0F81" w:rsidR="001D665E" w:rsidRDefault="00593F7D" w:rsidP="000E670B">
      <w:pPr>
        <w:spacing w:after="120"/>
        <w:rPr>
          <w:bCs/>
          <w:iCs/>
        </w:rPr>
      </w:pPr>
      <w:r w:rsidRPr="007E0BD6">
        <w:rPr>
          <w:bCs/>
          <w:iCs/>
          <w:sz w:val="22"/>
          <w:szCs w:val="22"/>
        </w:rPr>
        <w:t xml:space="preserve">To resolve the </w:t>
      </w:r>
      <w:r w:rsidR="00733EA6" w:rsidRPr="007E0BD6">
        <w:rPr>
          <w:bCs/>
          <w:iCs/>
          <w:sz w:val="22"/>
          <w:szCs w:val="22"/>
        </w:rPr>
        <w:t>above-mentioned</w:t>
      </w:r>
      <w:r w:rsidRPr="007E0BD6">
        <w:rPr>
          <w:bCs/>
          <w:iCs/>
          <w:sz w:val="22"/>
          <w:szCs w:val="22"/>
        </w:rPr>
        <w:t xml:space="preserve"> issue, there was discussion for LTE, and the following agreement is achieved and sent to RAN2 [2].</w:t>
      </w:r>
      <w:r w:rsidR="00733EA6">
        <w:rPr>
          <w:bCs/>
          <w:iCs/>
        </w:rPr>
        <w:t xml:space="preserve"> </w:t>
      </w:r>
    </w:p>
    <w:tbl>
      <w:tblPr>
        <w:tblStyle w:val="aff"/>
        <w:tblW w:w="0" w:type="auto"/>
        <w:tblLook w:val="04A0" w:firstRow="1" w:lastRow="0" w:firstColumn="1" w:lastColumn="0" w:noHBand="0" w:noVBand="1"/>
      </w:tblPr>
      <w:tblGrid>
        <w:gridCol w:w="9631"/>
      </w:tblGrid>
      <w:tr w:rsidR="00E6408C" w14:paraId="2E941DFF" w14:textId="77777777" w:rsidTr="00E6408C">
        <w:tc>
          <w:tcPr>
            <w:tcW w:w="9631" w:type="dxa"/>
          </w:tcPr>
          <w:p w14:paraId="1BDCE172" w14:textId="77777777" w:rsidR="00E6408C" w:rsidRPr="00793AE9" w:rsidRDefault="00E6408C" w:rsidP="00E6408C">
            <w:pPr>
              <w:rPr>
                <w:b/>
                <w:highlight w:val="yellow"/>
                <w:u w:val="single"/>
              </w:rPr>
            </w:pPr>
            <w:r w:rsidRPr="0063715E">
              <w:rPr>
                <w:rFonts w:hint="eastAsia"/>
                <w:b/>
                <w:highlight w:val="green"/>
                <w:u w:val="single"/>
              </w:rPr>
              <w:t>Agreements:</w:t>
            </w:r>
          </w:p>
          <w:p w14:paraId="03C19913" w14:textId="77777777" w:rsidR="00E6408C" w:rsidRDefault="00E6408C" w:rsidP="00E6408C">
            <w:pPr>
              <w:numPr>
                <w:ilvl w:val="0"/>
                <w:numId w:val="22"/>
              </w:numPr>
              <w:overflowPunct/>
              <w:autoSpaceDE/>
              <w:autoSpaceDN/>
              <w:adjustRightInd/>
              <w:spacing w:after="0"/>
              <w:textAlignment w:val="auto"/>
            </w:pPr>
            <w:r>
              <w:t>For a UE that supports Tx antenna selection in TDD but not in FDD, the UE accepts the RRC message configuring Tx antenna selection in TDD but not in FDD, but does not expect to receive a DCI indicating UE port 1 for the UL carrier not supporting Tx antenna selection.</w:t>
            </w:r>
          </w:p>
          <w:p w14:paraId="351A2C65" w14:textId="77777777" w:rsidR="00E6408C" w:rsidRDefault="00E6408C" w:rsidP="00E6408C">
            <w:pPr>
              <w:overflowPunct/>
              <w:autoSpaceDE/>
              <w:autoSpaceDN/>
              <w:adjustRightInd/>
              <w:spacing w:after="0"/>
              <w:ind w:left="720"/>
              <w:textAlignment w:val="auto"/>
            </w:pPr>
          </w:p>
          <w:p w14:paraId="4825E4E6" w14:textId="77777777" w:rsidR="00E6408C" w:rsidRPr="00793AE9" w:rsidRDefault="00E6408C" w:rsidP="00E6408C">
            <w:pPr>
              <w:numPr>
                <w:ilvl w:val="0"/>
                <w:numId w:val="22"/>
              </w:numPr>
              <w:overflowPunct/>
              <w:autoSpaceDE/>
              <w:autoSpaceDN/>
              <w:adjustRightInd/>
              <w:spacing w:after="0"/>
              <w:textAlignment w:val="auto"/>
            </w:pPr>
            <w:r w:rsidRPr="00793AE9">
              <w:t>For each band combination, signal which bands support Tx antenna selection. For each of the bands that support Tx antenna selection:</w:t>
            </w:r>
          </w:p>
          <w:p w14:paraId="70CB2CF5" w14:textId="77777777" w:rsidR="00E6408C" w:rsidRPr="00793AE9" w:rsidRDefault="00E6408C" w:rsidP="00E6408C">
            <w:pPr>
              <w:numPr>
                <w:ilvl w:val="0"/>
                <w:numId w:val="21"/>
              </w:numPr>
              <w:overflowPunct/>
              <w:autoSpaceDE/>
              <w:autoSpaceDN/>
              <w:adjustRightInd/>
              <w:spacing w:after="0"/>
              <w:textAlignment w:val="auto"/>
            </w:pPr>
            <w:r w:rsidRPr="00793AE9">
              <w:t>For each uplink band, signal all the bands for which UL switches together (thus same port has to be enforced)</w:t>
            </w:r>
          </w:p>
          <w:p w14:paraId="53E90C92" w14:textId="1039E5D6" w:rsidR="00E6408C" w:rsidRPr="00C50A5D" w:rsidRDefault="00E6408C" w:rsidP="007E0BD6">
            <w:pPr>
              <w:numPr>
                <w:ilvl w:val="0"/>
                <w:numId w:val="21"/>
              </w:numPr>
              <w:overflowPunct/>
              <w:autoSpaceDE/>
              <w:autoSpaceDN/>
              <w:adjustRightInd/>
              <w:spacing w:after="0"/>
              <w:textAlignment w:val="auto"/>
            </w:pPr>
            <w:r w:rsidRPr="00793AE9">
              <w:t>For each uplink band, signal all the bands for which DL switches together (thus introducing a ‘glitch’ in the DL reception)</w:t>
            </w:r>
          </w:p>
        </w:tc>
      </w:tr>
    </w:tbl>
    <w:p w14:paraId="3CE757AF" w14:textId="77777777" w:rsidR="00E6408C" w:rsidRDefault="00E6408C" w:rsidP="000E670B">
      <w:pPr>
        <w:spacing w:after="120"/>
        <w:rPr>
          <w:bCs/>
          <w:iCs/>
        </w:rPr>
      </w:pPr>
    </w:p>
    <w:p w14:paraId="1316E966" w14:textId="5C21A066" w:rsidR="00E6408C" w:rsidRPr="007E0BD6" w:rsidRDefault="00733EA6" w:rsidP="000E670B">
      <w:pPr>
        <w:spacing w:after="120"/>
        <w:rPr>
          <w:bCs/>
          <w:iCs/>
          <w:sz w:val="22"/>
        </w:rPr>
      </w:pPr>
      <w:r w:rsidRPr="007E0BD6">
        <w:rPr>
          <w:bCs/>
          <w:iCs/>
          <w:sz w:val="22"/>
        </w:rPr>
        <w:lastRenderedPageBreak/>
        <w:t xml:space="preserve">In RAN1, a CR was approved to implement the above </w:t>
      </w:r>
      <w:r w:rsidR="001B0377" w:rsidRPr="007E0BD6">
        <w:rPr>
          <w:bCs/>
          <w:iCs/>
          <w:sz w:val="22"/>
        </w:rPr>
        <w:t>agreement [3], and RAN2 introduced the following UE capabilities.</w:t>
      </w:r>
    </w:p>
    <w:tbl>
      <w:tblPr>
        <w:tblW w:w="7793" w:type="dxa"/>
        <w:tblInd w:w="108" w:type="dxa"/>
        <w:tblLayout w:type="fixed"/>
        <w:tblLook w:val="01E0" w:firstRow="1" w:lastRow="1" w:firstColumn="1" w:lastColumn="1" w:noHBand="0" w:noVBand="0"/>
      </w:tblPr>
      <w:tblGrid>
        <w:gridCol w:w="7793"/>
      </w:tblGrid>
      <w:tr w:rsidR="006C3A3C" w:rsidRPr="006C3A3C" w14:paraId="3028E62F" w14:textId="77777777" w:rsidTr="007E0BD6">
        <w:tc>
          <w:tcPr>
            <w:tcW w:w="7793" w:type="dxa"/>
            <w:tcBorders>
              <w:top w:val="single" w:sz="4" w:space="0" w:color="808080"/>
              <w:left w:val="single" w:sz="4" w:space="0" w:color="808080"/>
              <w:bottom w:val="single" w:sz="4" w:space="0" w:color="808080"/>
              <w:right w:val="single" w:sz="4" w:space="0" w:color="808080"/>
            </w:tcBorders>
          </w:tcPr>
          <w:p w14:paraId="62CACD97" w14:textId="56805122" w:rsidR="006C3A3C" w:rsidRPr="006C3A3C" w:rsidRDefault="006C3A3C" w:rsidP="006C3A3C">
            <w:pPr>
              <w:keepNext/>
              <w:keepLines/>
              <w:spacing w:after="0"/>
              <w:rPr>
                <w:rFonts w:ascii="Arial" w:eastAsia="Times New Roman" w:hAnsi="Arial"/>
                <w:b/>
                <w:bCs/>
                <w:i/>
                <w:noProof/>
                <w:sz w:val="18"/>
                <w:lang w:eastAsia="zh-TW"/>
              </w:rPr>
            </w:pPr>
            <w:bookmarkStart w:id="5" w:name="_Hlk131763545"/>
            <w:r w:rsidRPr="006C3A3C">
              <w:rPr>
                <w:rFonts w:ascii="Arial" w:eastAsia="Times New Roman" w:hAnsi="Arial"/>
                <w:b/>
                <w:bCs/>
                <w:i/>
                <w:noProof/>
                <w:sz w:val="18"/>
                <w:lang w:eastAsia="zh-TW"/>
              </w:rPr>
              <w:t>txAntennaSwitchUL</w:t>
            </w:r>
          </w:p>
          <w:bookmarkEnd w:id="5"/>
          <w:p w14:paraId="193E0C20" w14:textId="77777777" w:rsidR="006C3A3C" w:rsidRPr="006C3A3C" w:rsidRDefault="006C3A3C" w:rsidP="006C3A3C">
            <w:pPr>
              <w:keepNext/>
              <w:keepLines/>
              <w:spacing w:after="0"/>
              <w:rPr>
                <w:rFonts w:ascii="Arial" w:eastAsia="Times New Roman" w:hAnsi="Arial"/>
                <w:sz w:val="18"/>
                <w:lang w:eastAsia="ja-JP"/>
              </w:rPr>
            </w:pPr>
            <w:r w:rsidRPr="006C3A3C">
              <w:rPr>
                <w:rFonts w:ascii="Arial" w:eastAsia="Times New Roman" w:hAnsi="Arial"/>
                <w:sz w:val="18"/>
                <w:lang w:eastAsia="ja-JP"/>
              </w:rPr>
              <w:t xml:space="preserve">The presence of </w:t>
            </w:r>
            <w:proofErr w:type="spellStart"/>
            <w:r w:rsidRPr="006C3A3C">
              <w:rPr>
                <w:rFonts w:ascii="Arial" w:eastAsia="Times New Roman" w:hAnsi="Arial"/>
                <w:i/>
                <w:sz w:val="18"/>
                <w:lang w:eastAsia="ja-JP"/>
              </w:rPr>
              <w:t>txAntennaSwitchUL</w:t>
            </w:r>
            <w:proofErr w:type="spellEnd"/>
            <w:r w:rsidRPr="006C3A3C">
              <w:rPr>
                <w:rFonts w:ascii="Arial" w:eastAsia="Times New Roman" w:hAnsi="Arial"/>
                <w:sz w:val="18"/>
                <w:lang w:eastAsia="ja-JP"/>
              </w:rPr>
              <w:t xml:space="preserve"> indicates the UE supports transmit antenna selection for this UL band in the band combination as described in TS 36.213 [23], clauses 8.2 and 8.7.</w:t>
            </w:r>
          </w:p>
          <w:p w14:paraId="7C63DB2C" w14:textId="2A83FF69" w:rsidR="006C3A3C" w:rsidRPr="006C3A3C" w:rsidRDefault="006C3A3C" w:rsidP="006C3A3C">
            <w:pPr>
              <w:keepNext/>
              <w:keepLines/>
              <w:spacing w:after="0"/>
              <w:rPr>
                <w:rFonts w:ascii="Arial" w:eastAsia="Times New Roman" w:hAnsi="Arial"/>
                <w:bCs/>
                <w:noProof/>
                <w:sz w:val="18"/>
                <w:lang w:eastAsia="zh-TW"/>
              </w:rPr>
            </w:pPr>
            <w:bookmarkStart w:id="6" w:name="_Hlk499614695"/>
            <w:r w:rsidRPr="006C3A3C">
              <w:rPr>
                <w:rFonts w:ascii="Arial" w:eastAsia="Times New Roman" w:hAnsi="Arial"/>
                <w:sz w:val="18"/>
              </w:rPr>
              <w:t xml:space="preserve">The field </w:t>
            </w:r>
            <w:proofErr w:type="spellStart"/>
            <w:r w:rsidRPr="006C3A3C">
              <w:rPr>
                <w:rFonts w:ascii="Arial" w:eastAsia="Times New Roman" w:hAnsi="Arial"/>
                <w:i/>
                <w:sz w:val="18"/>
              </w:rPr>
              <w:t>txAntennaSwitchUL</w:t>
            </w:r>
            <w:proofErr w:type="spellEnd"/>
            <w:r w:rsidRPr="006C3A3C">
              <w:rPr>
                <w:rFonts w:ascii="Arial" w:eastAsia="Times New Roman" w:hAnsi="Arial"/>
                <w:sz w:val="18"/>
              </w:rPr>
              <w:t xml:space="preserve"> indicates the entry number of the first-listed band with UL in the band combination that switches together with this UL.</w:t>
            </w:r>
            <w:bookmarkEnd w:id="6"/>
            <w:r w:rsidRPr="006C3A3C">
              <w:rPr>
                <w:rFonts w:ascii="Arial" w:eastAsia="Times New Roman" w:hAnsi="Arial"/>
                <w:sz w:val="18"/>
              </w:rPr>
              <w:t xml:space="preserve"> </w:t>
            </w:r>
            <w:bookmarkStart w:id="7" w:name="_Hlk499614750"/>
            <w:r w:rsidRPr="006C3A3C">
              <w:rPr>
                <w:rFonts w:ascii="Arial" w:eastAsia="Times New Roman" w:hAnsi="Arial"/>
                <w:sz w:val="18"/>
              </w:rPr>
              <w:t xml:space="preserve">Value 1 means first </w:t>
            </w:r>
            <w:bookmarkEnd w:id="7"/>
            <w:r w:rsidRPr="006C3A3C">
              <w:rPr>
                <w:rFonts w:ascii="Arial" w:eastAsia="Times New Roman" w:hAnsi="Arial"/>
                <w:sz w:val="18"/>
              </w:rPr>
              <w:t>entry, value 2 means second entry and so on.</w:t>
            </w:r>
          </w:p>
          <w:p w14:paraId="1DDC25FE" w14:textId="77777777" w:rsidR="006C3A3C" w:rsidRPr="006C3A3C" w:rsidRDefault="006C3A3C" w:rsidP="006C3A3C">
            <w:pPr>
              <w:keepNext/>
              <w:keepLines/>
              <w:spacing w:after="0"/>
              <w:rPr>
                <w:rFonts w:ascii="Arial" w:eastAsia="Times New Roman" w:hAnsi="Arial"/>
                <w:bCs/>
                <w:noProof/>
                <w:sz w:val="18"/>
                <w:lang w:eastAsia="zh-TW"/>
              </w:rPr>
            </w:pPr>
            <w:r w:rsidRPr="006C3A3C">
              <w:rPr>
                <w:rFonts w:ascii="Arial" w:eastAsia="Times New Roman" w:hAnsi="Arial"/>
                <w:bCs/>
                <w:noProof/>
                <w:sz w:val="18"/>
                <w:lang w:eastAsia="zh-TW"/>
              </w:rPr>
              <w:t>For the case of carrier switching, the antenna switching capability for the target carrier configuration is indicated as follows:</w:t>
            </w:r>
          </w:p>
          <w:p w14:paraId="21AA3041" w14:textId="77777777" w:rsidR="006C3A3C" w:rsidRPr="006C3A3C" w:rsidRDefault="006C3A3C" w:rsidP="006C3A3C">
            <w:pPr>
              <w:keepNext/>
              <w:keepLines/>
              <w:spacing w:after="0"/>
              <w:rPr>
                <w:rFonts w:ascii="Arial" w:eastAsia="Times New Roman" w:hAnsi="Arial"/>
                <w:b/>
                <w:bCs/>
                <w:i/>
                <w:noProof/>
                <w:sz w:val="18"/>
                <w:lang w:eastAsia="zh-TW"/>
              </w:rPr>
            </w:pPr>
            <w:r w:rsidRPr="006C3A3C">
              <w:rPr>
                <w:rFonts w:ascii="Arial" w:eastAsia="Times New Roman" w:hAnsi="Arial"/>
                <w:sz w:val="18"/>
                <w:lang w:eastAsia="ja-JP"/>
              </w:rPr>
              <w:t xml:space="preserve">For UE configured with a set of component carriers belonging to a band combination </w:t>
            </w:r>
            <w:proofErr w:type="spellStart"/>
            <w:r w:rsidRPr="006C3A3C">
              <w:rPr>
                <w:rFonts w:ascii="Arial" w:eastAsia="Times New Roman" w:hAnsi="Arial"/>
                <w:sz w:val="18"/>
                <w:lang w:eastAsia="ja-JP"/>
              </w:rPr>
              <w:t>C</w:t>
            </w:r>
            <w:r w:rsidRPr="006C3A3C">
              <w:rPr>
                <w:rFonts w:ascii="Arial" w:eastAsia="Times New Roman" w:hAnsi="Arial"/>
                <w:sz w:val="18"/>
                <w:vertAlign w:val="subscript"/>
                <w:lang w:eastAsia="ja-JP"/>
              </w:rPr>
              <w:t>baseline</w:t>
            </w:r>
            <w:proofErr w:type="spellEnd"/>
            <w:r w:rsidRPr="006C3A3C">
              <w:rPr>
                <w:rFonts w:ascii="Arial" w:eastAsia="Times New Roman" w:hAnsi="Arial"/>
                <w:sz w:val="18"/>
                <w:lang w:eastAsia="ja-JP"/>
              </w:rPr>
              <w:t xml:space="preserve"> = {b</w:t>
            </w:r>
            <w:r w:rsidRPr="006C3A3C">
              <w:rPr>
                <w:rFonts w:ascii="Arial" w:eastAsia="Times New Roman" w:hAnsi="Arial"/>
                <w:sz w:val="18"/>
                <w:vertAlign w:val="subscript"/>
                <w:lang w:eastAsia="ja-JP"/>
              </w:rPr>
              <w:t>1</w:t>
            </w:r>
            <w:r w:rsidRPr="006C3A3C">
              <w:rPr>
                <w:rFonts w:ascii="Arial" w:eastAsia="Times New Roman" w:hAnsi="Arial"/>
                <w:sz w:val="18"/>
                <w:lang w:eastAsia="ja-JP"/>
              </w:rPr>
              <w:t>(1),…,</w:t>
            </w:r>
            <w:proofErr w:type="spellStart"/>
            <w:r w:rsidRPr="006C3A3C">
              <w:rPr>
                <w:rFonts w:ascii="Arial" w:eastAsia="Times New Roman" w:hAnsi="Arial"/>
                <w:sz w:val="18"/>
                <w:lang w:eastAsia="ja-JP"/>
              </w:rPr>
              <w:t>b</w:t>
            </w:r>
            <w:r w:rsidRPr="006C3A3C">
              <w:rPr>
                <w:rFonts w:ascii="Arial" w:eastAsia="Times New Roman" w:hAnsi="Arial"/>
                <w:sz w:val="18"/>
                <w:vertAlign w:val="subscript"/>
                <w:lang w:eastAsia="ja-JP"/>
              </w:rPr>
              <w:t>x</w:t>
            </w:r>
            <w:proofErr w:type="spellEnd"/>
            <w:r w:rsidRPr="006C3A3C">
              <w:rPr>
                <w:rFonts w:ascii="Arial" w:eastAsia="Times New Roman" w:hAnsi="Arial"/>
                <w:sz w:val="18"/>
                <w:lang w:eastAsia="ja-JP"/>
              </w:rPr>
              <w:t>(1),…,b</w:t>
            </w:r>
            <w:r w:rsidRPr="006C3A3C">
              <w:rPr>
                <w:rFonts w:ascii="Arial" w:eastAsia="Times New Roman" w:hAnsi="Arial"/>
                <w:sz w:val="18"/>
                <w:vertAlign w:val="subscript"/>
                <w:lang w:eastAsia="ja-JP"/>
              </w:rPr>
              <w:t>y</w:t>
            </w:r>
            <w:r w:rsidRPr="006C3A3C">
              <w:rPr>
                <w:rFonts w:ascii="Arial" w:eastAsia="Times New Roman" w:hAnsi="Arial"/>
                <w:sz w:val="18"/>
                <w:lang w:eastAsia="ja-JP"/>
              </w:rPr>
              <w:t xml:space="preserve">(0),…}, where "1/0" denotes whether the corresponding band has an uplink, if a component carrier in </w:t>
            </w:r>
            <w:proofErr w:type="spellStart"/>
            <w:r w:rsidRPr="006C3A3C">
              <w:rPr>
                <w:rFonts w:ascii="Arial" w:eastAsia="Times New Roman" w:hAnsi="Arial"/>
                <w:sz w:val="18"/>
                <w:lang w:eastAsia="ja-JP"/>
              </w:rPr>
              <w:t>b</w:t>
            </w:r>
            <w:r w:rsidRPr="006C3A3C">
              <w:rPr>
                <w:rFonts w:ascii="Arial" w:eastAsia="Times New Roman" w:hAnsi="Arial"/>
                <w:sz w:val="18"/>
                <w:vertAlign w:val="subscript"/>
                <w:lang w:eastAsia="ja-JP"/>
              </w:rPr>
              <w:t>x</w:t>
            </w:r>
            <w:proofErr w:type="spellEnd"/>
            <w:r w:rsidRPr="006C3A3C">
              <w:rPr>
                <w:rFonts w:ascii="Arial" w:eastAsia="Times New Roman" w:hAnsi="Arial"/>
                <w:sz w:val="18"/>
                <w:lang w:eastAsia="ja-JP"/>
              </w:rPr>
              <w:t xml:space="preserve"> is to be switched to a component carrier in b</w:t>
            </w:r>
            <w:r w:rsidRPr="006C3A3C">
              <w:rPr>
                <w:rFonts w:ascii="Arial" w:eastAsia="Times New Roman" w:hAnsi="Arial"/>
                <w:sz w:val="18"/>
                <w:vertAlign w:val="subscript"/>
                <w:lang w:eastAsia="ja-JP"/>
              </w:rPr>
              <w:t xml:space="preserve">y </w:t>
            </w:r>
            <w:r w:rsidRPr="006C3A3C">
              <w:rPr>
                <w:rFonts w:ascii="Arial" w:eastAsia="Times New Roman" w:hAnsi="Arial"/>
                <w:sz w:val="18"/>
                <w:lang w:eastAsia="ja-JP"/>
              </w:rPr>
              <w:t xml:space="preserve">(according to </w:t>
            </w:r>
            <w:r w:rsidRPr="006C3A3C">
              <w:rPr>
                <w:rFonts w:ascii="Arial" w:eastAsia="Times New Roman" w:hAnsi="Arial"/>
                <w:bCs/>
                <w:i/>
                <w:noProof/>
                <w:sz w:val="18"/>
                <w:lang w:eastAsia="ja-JP"/>
              </w:rPr>
              <w:t>srs-SwitchFromServCellIndex</w:t>
            </w:r>
            <w:r w:rsidRPr="006C3A3C">
              <w:rPr>
                <w:rFonts w:ascii="Arial" w:eastAsia="Times New Roman" w:hAnsi="Arial"/>
                <w:bCs/>
                <w:noProof/>
                <w:sz w:val="18"/>
                <w:lang w:eastAsia="ja-JP"/>
              </w:rPr>
              <w:t>)</w:t>
            </w:r>
            <w:r w:rsidRPr="006C3A3C">
              <w:rPr>
                <w:rFonts w:ascii="Arial" w:eastAsia="Times New Roman" w:hAnsi="Arial"/>
                <w:sz w:val="18"/>
                <w:lang w:eastAsia="ja-JP"/>
              </w:rPr>
              <w:t xml:space="preserve">, the antenna switching capability is derived based on band combination </w:t>
            </w:r>
            <w:proofErr w:type="spellStart"/>
            <w:r w:rsidRPr="006C3A3C">
              <w:rPr>
                <w:rFonts w:ascii="Arial" w:eastAsia="Times New Roman" w:hAnsi="Arial"/>
                <w:sz w:val="18"/>
                <w:lang w:eastAsia="ja-JP"/>
              </w:rPr>
              <w:t>C</w:t>
            </w:r>
            <w:r w:rsidRPr="006C3A3C">
              <w:rPr>
                <w:rFonts w:ascii="Arial" w:eastAsia="Times New Roman" w:hAnsi="Arial"/>
                <w:sz w:val="18"/>
                <w:vertAlign w:val="subscript"/>
                <w:lang w:eastAsia="ja-JP"/>
              </w:rPr>
              <w:t>target</w:t>
            </w:r>
            <w:proofErr w:type="spellEnd"/>
            <w:r w:rsidRPr="006C3A3C">
              <w:rPr>
                <w:rFonts w:ascii="Arial" w:eastAsia="Times New Roman" w:hAnsi="Arial"/>
                <w:sz w:val="18"/>
                <w:vertAlign w:val="subscript"/>
                <w:lang w:eastAsia="ja-JP"/>
              </w:rPr>
              <w:t xml:space="preserve"> </w:t>
            </w:r>
            <w:r w:rsidRPr="006C3A3C">
              <w:rPr>
                <w:rFonts w:ascii="Arial" w:eastAsia="Times New Roman" w:hAnsi="Arial"/>
                <w:sz w:val="18"/>
                <w:lang w:eastAsia="ja-JP"/>
              </w:rPr>
              <w:t>= {b</w:t>
            </w:r>
            <w:r w:rsidRPr="006C3A3C">
              <w:rPr>
                <w:rFonts w:ascii="Arial" w:eastAsia="Times New Roman" w:hAnsi="Arial"/>
                <w:sz w:val="18"/>
                <w:vertAlign w:val="subscript"/>
                <w:lang w:eastAsia="ja-JP"/>
              </w:rPr>
              <w:t>1</w:t>
            </w:r>
            <w:r w:rsidRPr="006C3A3C">
              <w:rPr>
                <w:rFonts w:ascii="Arial" w:eastAsia="Times New Roman" w:hAnsi="Arial"/>
                <w:sz w:val="18"/>
                <w:lang w:eastAsia="ja-JP"/>
              </w:rPr>
              <w:t>(1),…,</w:t>
            </w:r>
            <w:proofErr w:type="spellStart"/>
            <w:r w:rsidRPr="006C3A3C">
              <w:rPr>
                <w:rFonts w:ascii="Arial" w:eastAsia="Times New Roman" w:hAnsi="Arial"/>
                <w:sz w:val="18"/>
                <w:lang w:eastAsia="ja-JP"/>
              </w:rPr>
              <w:t>b</w:t>
            </w:r>
            <w:r w:rsidRPr="006C3A3C">
              <w:rPr>
                <w:rFonts w:ascii="Arial" w:eastAsia="Times New Roman" w:hAnsi="Arial"/>
                <w:sz w:val="18"/>
                <w:vertAlign w:val="subscript"/>
                <w:lang w:eastAsia="ja-JP"/>
              </w:rPr>
              <w:t>x</w:t>
            </w:r>
            <w:proofErr w:type="spellEnd"/>
            <w:r w:rsidRPr="006C3A3C">
              <w:rPr>
                <w:rFonts w:ascii="Arial" w:eastAsia="Times New Roman" w:hAnsi="Arial"/>
                <w:sz w:val="18"/>
                <w:lang w:eastAsia="ja-JP"/>
              </w:rPr>
              <w:t>(0),…,b</w:t>
            </w:r>
            <w:r w:rsidRPr="006C3A3C">
              <w:rPr>
                <w:rFonts w:ascii="Arial" w:eastAsia="Times New Roman" w:hAnsi="Arial"/>
                <w:sz w:val="18"/>
                <w:vertAlign w:val="subscript"/>
                <w:lang w:eastAsia="ja-JP"/>
              </w:rPr>
              <w:t>y</w:t>
            </w:r>
            <w:r w:rsidRPr="006C3A3C">
              <w:rPr>
                <w:rFonts w:ascii="Arial" w:eastAsia="Times New Roman" w:hAnsi="Arial"/>
                <w:sz w:val="18"/>
                <w:lang w:eastAsia="ja-JP"/>
              </w:rPr>
              <w:t>(1),…}.</w:t>
            </w:r>
          </w:p>
        </w:tc>
      </w:tr>
    </w:tbl>
    <w:p w14:paraId="111363A4" w14:textId="2096B3F5" w:rsidR="001B0377" w:rsidRDefault="001B0377" w:rsidP="000E670B">
      <w:pPr>
        <w:spacing w:after="120"/>
        <w:rPr>
          <w:bCs/>
          <w:iCs/>
        </w:rPr>
      </w:pPr>
    </w:p>
    <w:p w14:paraId="5082839D" w14:textId="601D1375" w:rsidR="00341F36" w:rsidRPr="007E0BD6" w:rsidRDefault="00341F36" w:rsidP="000E670B">
      <w:pPr>
        <w:spacing w:after="120"/>
        <w:rPr>
          <w:b/>
          <w:bCs/>
          <w:i/>
          <w:iCs/>
          <w:sz w:val="22"/>
          <w:szCs w:val="22"/>
        </w:rPr>
      </w:pPr>
      <w:r w:rsidRPr="007E0BD6">
        <w:rPr>
          <w:b/>
          <w:bCs/>
          <w:i/>
          <w:iCs/>
          <w:sz w:val="22"/>
          <w:szCs w:val="22"/>
        </w:rPr>
        <w:t xml:space="preserve">Observation 2: </w:t>
      </w:r>
      <w:r w:rsidR="00411583" w:rsidRPr="007E0BD6">
        <w:rPr>
          <w:b/>
          <w:bCs/>
          <w:i/>
          <w:iCs/>
          <w:sz w:val="22"/>
          <w:szCs w:val="22"/>
        </w:rPr>
        <w:t xml:space="preserve">For LTE, a CR in RAN1 was approved and RAN2 introduced UE capabilities </w:t>
      </w:r>
      <w:proofErr w:type="spellStart"/>
      <w:r w:rsidR="00411583" w:rsidRPr="007E0BD6">
        <w:rPr>
          <w:b/>
          <w:bCs/>
          <w:i/>
          <w:iCs/>
          <w:sz w:val="22"/>
          <w:szCs w:val="22"/>
        </w:rPr>
        <w:t>txAntennaSwitchUL</w:t>
      </w:r>
      <w:proofErr w:type="spellEnd"/>
      <w:r w:rsidR="00411583" w:rsidRPr="007E0BD6">
        <w:rPr>
          <w:b/>
          <w:bCs/>
          <w:i/>
          <w:iCs/>
          <w:sz w:val="22"/>
          <w:szCs w:val="22"/>
        </w:rPr>
        <w:t xml:space="preserve"> to resolve the issues in FDD-TDD band combinations.</w:t>
      </w:r>
    </w:p>
    <w:p w14:paraId="78762263" w14:textId="1B4F7481" w:rsidR="00A567C7" w:rsidRPr="007E0BD6" w:rsidRDefault="00BC353C" w:rsidP="000E670B">
      <w:pPr>
        <w:spacing w:after="120"/>
        <w:rPr>
          <w:sz w:val="22"/>
          <w:szCs w:val="22"/>
        </w:rPr>
      </w:pPr>
      <w:r w:rsidRPr="007E0BD6">
        <w:rPr>
          <w:bCs/>
          <w:iCs/>
          <w:sz w:val="22"/>
          <w:szCs w:val="22"/>
        </w:rPr>
        <w:t xml:space="preserve">For NR, </w:t>
      </w:r>
      <w:r w:rsidR="006B73B3">
        <w:rPr>
          <w:rFonts w:hint="eastAsia"/>
          <w:bCs/>
          <w:iCs/>
          <w:sz w:val="22"/>
          <w:szCs w:val="22"/>
        </w:rPr>
        <w:t>the</w:t>
      </w:r>
      <w:r w:rsidR="006B73B3">
        <w:rPr>
          <w:bCs/>
          <w:iCs/>
          <w:sz w:val="22"/>
          <w:szCs w:val="22"/>
        </w:rPr>
        <w:t xml:space="preserve"> similar </w:t>
      </w:r>
      <w:r w:rsidRPr="007E0BD6">
        <w:rPr>
          <w:bCs/>
          <w:iCs/>
          <w:sz w:val="22"/>
          <w:szCs w:val="22"/>
        </w:rPr>
        <w:t xml:space="preserve">UE capabilities were also introduced </w:t>
      </w:r>
      <w:r w:rsidR="00C5067C" w:rsidRPr="007E0BD6">
        <w:rPr>
          <w:bCs/>
          <w:iCs/>
          <w:sz w:val="22"/>
          <w:szCs w:val="22"/>
        </w:rPr>
        <w:t>to reproduce those in LTE as</w:t>
      </w:r>
      <w:r w:rsidR="006B73B3">
        <w:rPr>
          <w:bCs/>
          <w:iCs/>
          <w:sz w:val="22"/>
          <w:szCs w:val="22"/>
        </w:rPr>
        <w:t xml:space="preserve"> </w:t>
      </w:r>
      <w:proofErr w:type="spellStart"/>
      <w:r w:rsidR="00C5067C" w:rsidRPr="007E0BD6">
        <w:rPr>
          <w:i/>
          <w:sz w:val="22"/>
          <w:szCs w:val="22"/>
        </w:rPr>
        <w:t>txSwitchWithAnotherBand</w:t>
      </w:r>
      <w:proofErr w:type="spellEnd"/>
      <w:r w:rsidR="00C5067C" w:rsidRPr="007E0BD6">
        <w:rPr>
          <w:sz w:val="22"/>
          <w:szCs w:val="22"/>
        </w:rPr>
        <w:t xml:space="preserve">. However, there is no clarification in spec on the </w:t>
      </w:r>
      <w:r w:rsidR="00917628" w:rsidRPr="007E0BD6">
        <w:rPr>
          <w:sz w:val="22"/>
          <w:szCs w:val="22"/>
        </w:rPr>
        <w:t>scheduling restrictions for both UL and DL in the affected band for EN-DC/NR CA band combinations.</w:t>
      </w:r>
    </w:p>
    <w:p w14:paraId="534CC12F" w14:textId="2085779F" w:rsidR="00D3031D" w:rsidRPr="007E0BD6" w:rsidRDefault="00D3031D" w:rsidP="000E670B">
      <w:pPr>
        <w:spacing w:after="120"/>
        <w:rPr>
          <w:b/>
          <w:bCs/>
          <w:i/>
          <w:iCs/>
          <w:sz w:val="22"/>
          <w:szCs w:val="22"/>
        </w:rPr>
      </w:pPr>
      <w:r w:rsidRPr="007E0BD6">
        <w:rPr>
          <w:b/>
          <w:bCs/>
          <w:i/>
          <w:iCs/>
          <w:sz w:val="22"/>
          <w:szCs w:val="22"/>
        </w:rPr>
        <w:t>Observation 3: For NR, there is no clarification for the expected scheduling restrictions for the affected band in EN-DC/NR CA FDD-TDD band combinations.</w:t>
      </w:r>
    </w:p>
    <w:p w14:paraId="1ED1AA38" w14:textId="0E4A9E5D" w:rsidR="00E21C61" w:rsidRPr="007E0BD6" w:rsidRDefault="009C4AF0" w:rsidP="007E0BD6">
      <w:pPr>
        <w:spacing w:after="120"/>
        <w:rPr>
          <w:sz w:val="22"/>
          <w:szCs w:val="22"/>
        </w:rPr>
      </w:pPr>
      <w:bookmarkStart w:id="8" w:name="_Hlk142659465"/>
      <w:r w:rsidRPr="007E0BD6">
        <w:rPr>
          <w:bCs/>
          <w:iCs/>
          <w:sz w:val="22"/>
          <w:szCs w:val="22"/>
        </w:rPr>
        <w:t>To resolve the</w:t>
      </w:r>
      <w:bookmarkEnd w:id="8"/>
      <w:r w:rsidRPr="007E0BD6">
        <w:rPr>
          <w:bCs/>
          <w:iCs/>
          <w:sz w:val="22"/>
          <w:szCs w:val="22"/>
        </w:rPr>
        <w:t xml:space="preserve"> above-mentioned issues in NR spec, the following is proposed:</w:t>
      </w:r>
      <w:r w:rsidR="007D237F" w:rsidRPr="007E0BD6">
        <w:rPr>
          <w:sz w:val="22"/>
          <w:szCs w:val="22"/>
        </w:rPr>
        <w:t xml:space="preserve"> </w:t>
      </w:r>
    </w:p>
    <w:p w14:paraId="697E0DB6" w14:textId="3CABBDCD" w:rsidR="00814DF2" w:rsidRPr="007E0BD6" w:rsidRDefault="00814DF2" w:rsidP="007E0BD6">
      <w:pPr>
        <w:spacing w:after="120"/>
        <w:rPr>
          <w:b/>
          <w:bCs/>
          <w:i/>
          <w:iCs/>
          <w:sz w:val="22"/>
          <w:szCs w:val="22"/>
        </w:rPr>
      </w:pPr>
      <w:r w:rsidRPr="007E0BD6">
        <w:rPr>
          <w:b/>
          <w:bCs/>
          <w:i/>
          <w:iCs/>
          <w:sz w:val="22"/>
          <w:szCs w:val="22"/>
        </w:rPr>
        <w:t xml:space="preserve">Proposal 1: Support the following restrictions for </w:t>
      </w:r>
      <w:r w:rsidR="00B91CFA" w:rsidRPr="007E0BD6">
        <w:rPr>
          <w:b/>
          <w:bCs/>
          <w:i/>
          <w:iCs/>
          <w:sz w:val="22"/>
          <w:szCs w:val="22"/>
        </w:rPr>
        <w:t>TDD-FDD combinations</w:t>
      </w:r>
      <w:r w:rsidRPr="007E0BD6">
        <w:rPr>
          <w:b/>
          <w:bCs/>
          <w:i/>
          <w:iCs/>
          <w:sz w:val="22"/>
          <w:szCs w:val="22"/>
        </w:rPr>
        <w:t xml:space="preserve"> </w:t>
      </w:r>
      <w:r w:rsidR="00B91CFA" w:rsidRPr="007E0BD6">
        <w:rPr>
          <w:b/>
          <w:bCs/>
          <w:i/>
          <w:iCs/>
          <w:sz w:val="22"/>
          <w:szCs w:val="22"/>
        </w:rPr>
        <w:t xml:space="preserve">where some bands support </w:t>
      </w:r>
      <w:r w:rsidRPr="007E0BD6">
        <w:rPr>
          <w:b/>
          <w:bCs/>
          <w:i/>
          <w:iCs/>
          <w:sz w:val="22"/>
          <w:szCs w:val="22"/>
        </w:rPr>
        <w:t>Tx antenna switching:</w:t>
      </w:r>
    </w:p>
    <w:p w14:paraId="74DFED2F" w14:textId="4B9890D7" w:rsidR="00814DF2" w:rsidRDefault="00814DF2" w:rsidP="007E0BD6">
      <w:pPr>
        <w:pStyle w:val="afff0"/>
        <w:numPr>
          <w:ilvl w:val="0"/>
          <w:numId w:val="14"/>
        </w:numPr>
        <w:spacing w:after="120"/>
        <w:ind w:firstLineChars="0"/>
        <w:rPr>
          <w:rFonts w:ascii="Times New Roman" w:hAnsi="Times New Roman"/>
          <w:b/>
          <w:bCs/>
          <w:i/>
          <w:iCs/>
          <w:kern w:val="0"/>
          <w:sz w:val="22"/>
          <w:lang w:val="en-GB" w:eastAsia="zh-CN"/>
        </w:rPr>
      </w:pPr>
      <w:r w:rsidRPr="007E0BD6">
        <w:rPr>
          <w:rFonts w:ascii="Times New Roman" w:hAnsi="Times New Roman"/>
          <w:b/>
          <w:bCs/>
          <w:i/>
          <w:iCs/>
          <w:kern w:val="0"/>
          <w:sz w:val="22"/>
          <w:lang w:val="en-GB" w:eastAsia="zh-CN"/>
        </w:rPr>
        <w:t xml:space="preserve">For each uplink band, the UE is not expected to transmit </w:t>
      </w:r>
      <w:r w:rsidR="00B91CFA" w:rsidRPr="007E0BD6">
        <w:rPr>
          <w:rFonts w:ascii="Times New Roman" w:hAnsi="Times New Roman"/>
          <w:b/>
          <w:bCs/>
          <w:i/>
          <w:iCs/>
          <w:kern w:val="0"/>
          <w:sz w:val="22"/>
          <w:lang w:val="en-GB" w:eastAsia="zh-CN"/>
        </w:rPr>
        <w:t>uplink channels/signals</w:t>
      </w:r>
      <w:r w:rsidRPr="007E0BD6">
        <w:rPr>
          <w:rFonts w:ascii="Times New Roman" w:hAnsi="Times New Roman"/>
          <w:b/>
          <w:bCs/>
          <w:i/>
          <w:iCs/>
          <w:kern w:val="0"/>
          <w:sz w:val="22"/>
          <w:lang w:val="en-GB" w:eastAsia="zh-CN"/>
        </w:rPr>
        <w:t xml:space="preserve"> on different antenna ports</w:t>
      </w:r>
      <w:r w:rsidR="00B91CFA" w:rsidRPr="007E0BD6">
        <w:rPr>
          <w:rFonts w:ascii="Times New Roman" w:hAnsi="Times New Roman"/>
          <w:b/>
          <w:bCs/>
          <w:i/>
          <w:iCs/>
          <w:kern w:val="0"/>
          <w:sz w:val="22"/>
          <w:lang w:val="en-GB" w:eastAsia="zh-CN"/>
        </w:rPr>
        <w:t xml:space="preserve"> with bands reported by</w:t>
      </w:r>
      <w:r w:rsidR="00B91CFA" w:rsidRPr="007E0BD6">
        <w:rPr>
          <w:sz w:val="22"/>
        </w:rPr>
        <w:t xml:space="preserve"> </w:t>
      </w:r>
      <w:proofErr w:type="spellStart"/>
      <w:r w:rsidR="00B91CFA" w:rsidRPr="007E0BD6">
        <w:rPr>
          <w:rFonts w:ascii="Times New Roman" w:hAnsi="Times New Roman"/>
          <w:b/>
          <w:bCs/>
          <w:i/>
          <w:iCs/>
          <w:kern w:val="0"/>
          <w:sz w:val="22"/>
          <w:lang w:val="en-GB" w:eastAsia="zh-CN"/>
        </w:rPr>
        <w:t>txSwitchWithAnotherBand</w:t>
      </w:r>
      <w:proofErr w:type="spellEnd"/>
      <w:r w:rsidR="00967996" w:rsidRPr="007E0BD6">
        <w:rPr>
          <w:rFonts w:ascii="Times New Roman" w:hAnsi="Times New Roman"/>
          <w:b/>
          <w:bCs/>
          <w:i/>
          <w:iCs/>
          <w:kern w:val="0"/>
          <w:sz w:val="22"/>
          <w:lang w:val="en-GB" w:eastAsia="zh-CN"/>
        </w:rPr>
        <w:t>.</w:t>
      </w:r>
    </w:p>
    <w:p w14:paraId="7FEC57CF" w14:textId="2D44E503" w:rsidR="006568CF" w:rsidRPr="007E0BD6" w:rsidRDefault="006568CF" w:rsidP="007E0BD6">
      <w:pPr>
        <w:pStyle w:val="afff0"/>
        <w:numPr>
          <w:ilvl w:val="0"/>
          <w:numId w:val="14"/>
        </w:numPr>
        <w:spacing w:after="120"/>
        <w:ind w:firstLineChars="0"/>
        <w:rPr>
          <w:rFonts w:ascii="Times New Roman" w:hAnsi="Times New Roman"/>
          <w:b/>
          <w:bCs/>
          <w:i/>
          <w:iCs/>
          <w:kern w:val="0"/>
          <w:sz w:val="22"/>
          <w:lang w:val="en-GB" w:eastAsia="zh-CN"/>
        </w:rPr>
      </w:pPr>
      <w:r w:rsidRPr="006568CF">
        <w:rPr>
          <w:rFonts w:ascii="Times New Roman" w:hAnsi="Times New Roman"/>
          <w:b/>
          <w:bCs/>
          <w:i/>
          <w:iCs/>
          <w:kern w:val="0"/>
          <w:sz w:val="22"/>
          <w:lang w:val="en-GB" w:eastAsia="zh-CN"/>
        </w:rPr>
        <w:t>The above is clarified in spec by CR.</w:t>
      </w:r>
    </w:p>
    <w:p w14:paraId="5A66B038" w14:textId="7051DD85" w:rsidR="006568CF" w:rsidRDefault="006568CF" w:rsidP="007E0BD6">
      <w:pPr>
        <w:spacing w:after="120"/>
        <w:rPr>
          <w:sz w:val="22"/>
          <w:szCs w:val="22"/>
        </w:rPr>
      </w:pPr>
    </w:p>
    <w:p w14:paraId="076236A8" w14:textId="5883B810" w:rsidR="006568CF" w:rsidRPr="006568CF" w:rsidRDefault="008D3CAB" w:rsidP="006568CF">
      <w:pPr>
        <w:spacing w:after="120"/>
        <w:rPr>
          <w:sz w:val="22"/>
          <w:szCs w:val="22"/>
        </w:rPr>
      </w:pPr>
      <w:r>
        <w:rPr>
          <w:sz w:val="22"/>
          <w:szCs w:val="22"/>
        </w:rPr>
        <w:t>In last meeting, the following text proposal was discussed.</w:t>
      </w:r>
    </w:p>
    <w:tbl>
      <w:tblPr>
        <w:tblStyle w:val="aff"/>
        <w:tblW w:w="0" w:type="auto"/>
        <w:tblLook w:val="04A0" w:firstRow="1" w:lastRow="0" w:firstColumn="1" w:lastColumn="0" w:noHBand="0" w:noVBand="1"/>
      </w:tblPr>
      <w:tblGrid>
        <w:gridCol w:w="9631"/>
      </w:tblGrid>
      <w:tr w:rsidR="006568CF" w:rsidRPr="006568CF" w14:paraId="4A6DC4AE" w14:textId="77777777" w:rsidTr="00D4574E">
        <w:tc>
          <w:tcPr>
            <w:tcW w:w="9631" w:type="dxa"/>
          </w:tcPr>
          <w:p w14:paraId="5DD76E52" w14:textId="77777777" w:rsidR="006568CF" w:rsidRPr="006568CF" w:rsidRDefault="006568CF" w:rsidP="006568CF">
            <w:pPr>
              <w:spacing w:after="120"/>
              <w:rPr>
                <w:sz w:val="22"/>
                <w:szCs w:val="22"/>
                <w:lang w:val="en-US"/>
              </w:rPr>
            </w:pPr>
            <w:r w:rsidRPr="006568CF">
              <w:rPr>
                <w:sz w:val="22"/>
                <w:szCs w:val="22"/>
                <w:lang w:val="en-US"/>
              </w:rPr>
              <w:t>============================&lt;TP1, 38.214&gt;===========================</w:t>
            </w:r>
          </w:p>
          <w:p w14:paraId="2CB02ED6" w14:textId="77777777" w:rsidR="006568CF" w:rsidRPr="006568CF" w:rsidRDefault="006568CF" w:rsidP="006568CF">
            <w:pPr>
              <w:spacing w:after="120"/>
              <w:rPr>
                <w:sz w:val="22"/>
                <w:szCs w:val="22"/>
              </w:rPr>
            </w:pPr>
            <w:r w:rsidRPr="006568CF">
              <w:rPr>
                <w:sz w:val="22"/>
                <w:szCs w:val="22"/>
              </w:rPr>
              <w:t>6.2.1.2</w:t>
            </w:r>
            <w:r w:rsidRPr="006568CF">
              <w:rPr>
                <w:sz w:val="22"/>
                <w:szCs w:val="22"/>
              </w:rPr>
              <w:tab/>
              <w:t>UE sounding procedure for DL CSI acquisition</w:t>
            </w:r>
          </w:p>
          <w:p w14:paraId="7E01828F" w14:textId="77777777" w:rsidR="006568CF" w:rsidRPr="006568CF" w:rsidRDefault="006568CF" w:rsidP="006568CF">
            <w:pPr>
              <w:spacing w:after="120"/>
              <w:rPr>
                <w:b/>
                <w:bCs/>
                <w:sz w:val="22"/>
                <w:szCs w:val="22"/>
                <w:lang w:val="en-US"/>
              </w:rPr>
            </w:pPr>
            <w:r w:rsidRPr="006568CF">
              <w:rPr>
                <w:b/>
                <w:bCs/>
                <w:sz w:val="22"/>
                <w:szCs w:val="22"/>
                <w:lang w:val="en-US"/>
              </w:rPr>
              <w:t>&lt;Unchanged parts are omitted&gt;</w:t>
            </w:r>
          </w:p>
          <w:p w14:paraId="1AFA9858" w14:textId="77777777" w:rsidR="006568CF" w:rsidRPr="00961A6F" w:rsidRDefault="006568CF" w:rsidP="006568CF">
            <w:pPr>
              <w:spacing w:after="120"/>
              <w:rPr>
                <w:color w:val="FF0000"/>
                <w:sz w:val="22"/>
                <w:szCs w:val="22"/>
                <w:lang w:val="en-US"/>
              </w:rPr>
            </w:pPr>
            <w:r w:rsidRPr="00961A6F">
              <w:rPr>
                <w:color w:val="FF0000"/>
                <w:sz w:val="22"/>
                <w:szCs w:val="22"/>
                <w:lang w:val="en-US"/>
              </w:rPr>
              <w:t xml:space="preserve">For a UE configured with multiple component carriers, and for a first component carrier configured with uplink in a first band and a second component carrier configured with uplink in a second band that are </w:t>
            </w:r>
            <w:proofErr w:type="spellStart"/>
            <w:r w:rsidRPr="00961A6F">
              <w:rPr>
                <w:color w:val="FF0000"/>
                <w:sz w:val="22"/>
                <w:szCs w:val="22"/>
                <w:lang w:val="en-US"/>
              </w:rPr>
              <w:t>signalled</w:t>
            </w:r>
            <w:proofErr w:type="spellEnd"/>
            <w:r w:rsidRPr="00961A6F">
              <w:rPr>
                <w:color w:val="FF0000"/>
                <w:sz w:val="22"/>
                <w:szCs w:val="22"/>
                <w:lang w:val="en-US"/>
              </w:rPr>
              <w:t xml:space="preserve"> to switch together according to higher layer parameter </w:t>
            </w:r>
            <w:proofErr w:type="spellStart"/>
            <w:r w:rsidRPr="00961A6F">
              <w:rPr>
                <w:i/>
                <w:iCs/>
                <w:color w:val="FF0000"/>
                <w:sz w:val="22"/>
                <w:szCs w:val="22"/>
                <w:lang w:val="en-US"/>
              </w:rPr>
              <w:t>txSwitchWithAnotherBand</w:t>
            </w:r>
            <w:proofErr w:type="spellEnd"/>
            <w:r w:rsidRPr="00961A6F">
              <w:rPr>
                <w:color w:val="FF0000"/>
                <w:sz w:val="22"/>
                <w:szCs w:val="22"/>
                <w:lang w:val="en-US"/>
              </w:rPr>
              <w:t xml:space="preserve"> the UE is not expected to follow inconsistent transmissions related to antenna switching.</w:t>
            </w:r>
          </w:p>
          <w:p w14:paraId="1AB32D21" w14:textId="77777777" w:rsidR="006568CF" w:rsidRPr="00961A6F" w:rsidRDefault="006568CF" w:rsidP="006568CF">
            <w:pPr>
              <w:spacing w:after="120"/>
              <w:rPr>
                <w:color w:val="FF0000"/>
                <w:sz w:val="22"/>
                <w:szCs w:val="22"/>
                <w:lang w:val="en-US"/>
              </w:rPr>
            </w:pPr>
            <w:r w:rsidRPr="00961A6F">
              <w:rPr>
                <w:color w:val="FF0000"/>
                <w:sz w:val="22"/>
                <w:szCs w:val="22"/>
                <w:lang w:val="en-US"/>
              </w:rPr>
              <w:t>For a UE configured with multiple component carriers configured with uplink in intra-band CA, the UE is not expected to follow inconsistent transmissions related to antenna switching.</w:t>
            </w:r>
          </w:p>
          <w:p w14:paraId="66D71790" w14:textId="77777777" w:rsidR="006568CF" w:rsidRPr="00961A6F" w:rsidRDefault="006568CF" w:rsidP="006568CF">
            <w:pPr>
              <w:spacing w:after="120"/>
              <w:rPr>
                <w:color w:val="FF0000"/>
                <w:sz w:val="22"/>
                <w:szCs w:val="22"/>
                <w:lang w:val="en-US"/>
              </w:rPr>
            </w:pPr>
            <w:r w:rsidRPr="00961A6F">
              <w:rPr>
                <w:color w:val="FF0000"/>
                <w:sz w:val="22"/>
                <w:szCs w:val="22"/>
                <w:lang w:val="en-US"/>
              </w:rPr>
              <w:t xml:space="preserve">For a UE configured with EN-DC, and for a first component carrier configured with uplink corresponding to in an E-UTRA band and a second component carrier configured with uplink in a NR band that are </w:t>
            </w:r>
            <w:proofErr w:type="spellStart"/>
            <w:r w:rsidRPr="00961A6F">
              <w:rPr>
                <w:color w:val="FF0000"/>
                <w:sz w:val="22"/>
                <w:szCs w:val="22"/>
                <w:lang w:val="en-US"/>
              </w:rPr>
              <w:t>signalled</w:t>
            </w:r>
            <w:proofErr w:type="spellEnd"/>
            <w:r w:rsidRPr="00961A6F">
              <w:rPr>
                <w:color w:val="FF0000"/>
                <w:sz w:val="22"/>
                <w:szCs w:val="22"/>
                <w:lang w:val="en-US"/>
              </w:rPr>
              <w:t xml:space="preserve"> to switch together according to higher layer parameter </w:t>
            </w:r>
            <w:proofErr w:type="spellStart"/>
            <w:r w:rsidRPr="00961A6F">
              <w:rPr>
                <w:i/>
                <w:iCs/>
                <w:color w:val="FF0000"/>
                <w:sz w:val="22"/>
                <w:szCs w:val="22"/>
                <w:lang w:val="en-US"/>
              </w:rPr>
              <w:t>txSwitchWithAnotherBand</w:t>
            </w:r>
            <w:proofErr w:type="spellEnd"/>
            <w:r w:rsidRPr="00961A6F">
              <w:rPr>
                <w:color w:val="FF0000"/>
                <w:sz w:val="22"/>
                <w:szCs w:val="22"/>
                <w:lang w:val="en-US"/>
              </w:rPr>
              <w:t>, the UE is not expected to follow inconsistent transmissions related to antenna switching in E-UTRA and NR.</w:t>
            </w:r>
          </w:p>
          <w:p w14:paraId="64AFE194" w14:textId="77777777" w:rsidR="006568CF" w:rsidRPr="006568CF" w:rsidRDefault="006568CF" w:rsidP="006568CF">
            <w:pPr>
              <w:spacing w:after="120"/>
              <w:rPr>
                <w:sz w:val="22"/>
                <w:szCs w:val="22"/>
              </w:rPr>
            </w:pPr>
            <w:r w:rsidRPr="00961A6F">
              <w:rPr>
                <w:color w:val="FF0000"/>
                <w:sz w:val="22"/>
                <w:szCs w:val="22"/>
                <w:lang w:val="en-US"/>
              </w:rPr>
              <w:t>For a UE configured with intra-band EN-DC, the UE is not expected to follow inconsistent transmissions related to antenna switching in E-UTRA and NR.</w:t>
            </w:r>
          </w:p>
        </w:tc>
      </w:tr>
    </w:tbl>
    <w:p w14:paraId="14606760" w14:textId="1245D8FA" w:rsidR="00353416" w:rsidRDefault="00353416" w:rsidP="00B04F21">
      <w:pPr>
        <w:snapToGrid w:val="0"/>
        <w:spacing w:after="0"/>
        <w:rPr>
          <w:sz w:val="22"/>
          <w:szCs w:val="22"/>
        </w:rPr>
      </w:pPr>
    </w:p>
    <w:p w14:paraId="1CA19BDB" w14:textId="5C708D27" w:rsidR="00353416" w:rsidRDefault="00353416" w:rsidP="00B04F21">
      <w:pPr>
        <w:snapToGrid w:val="0"/>
        <w:spacing w:after="120"/>
        <w:rPr>
          <w:sz w:val="22"/>
          <w:szCs w:val="22"/>
        </w:rPr>
      </w:pPr>
      <w:r>
        <w:rPr>
          <w:sz w:val="22"/>
          <w:szCs w:val="22"/>
        </w:rPr>
        <w:t>There were comments that “</w:t>
      </w:r>
      <w:r w:rsidR="009D51F8">
        <w:rPr>
          <w:sz w:val="22"/>
          <w:szCs w:val="22"/>
        </w:rPr>
        <w:t>in</w:t>
      </w:r>
      <w:r>
        <w:rPr>
          <w:sz w:val="22"/>
          <w:szCs w:val="22"/>
        </w:rPr>
        <w:t>consistent transmission”</w:t>
      </w:r>
      <w:r w:rsidR="009D51F8">
        <w:rPr>
          <w:sz w:val="22"/>
          <w:szCs w:val="22"/>
        </w:rPr>
        <w:t xml:space="preserve"> is not clear from spec point of view. To clarify that </w:t>
      </w:r>
      <w:r w:rsidR="001B15B8">
        <w:rPr>
          <w:sz w:val="22"/>
          <w:szCs w:val="22"/>
        </w:rPr>
        <w:t xml:space="preserve">UEs will not use different physical antenna port(s) in carriers that switch together, it is proposed to </w:t>
      </w:r>
      <w:r w:rsidR="00571A97">
        <w:rPr>
          <w:sz w:val="22"/>
          <w:szCs w:val="22"/>
        </w:rPr>
        <w:t xml:space="preserve">use </w:t>
      </w:r>
      <w:r w:rsidR="00571A97">
        <w:rPr>
          <w:sz w:val="22"/>
          <w:szCs w:val="22"/>
        </w:rPr>
        <w:lastRenderedPageBreak/>
        <w:t>wording “UE antenna port” to represent the physical antenna port(s). As copied below from TS 38.214, it is used to state the physical antenna ports.</w:t>
      </w:r>
    </w:p>
    <w:p w14:paraId="2B48832F" w14:textId="105547D3" w:rsidR="007D19D0" w:rsidRDefault="007D19D0" w:rsidP="00B04F21">
      <w:pPr>
        <w:snapToGrid w:val="0"/>
        <w:spacing w:after="120"/>
        <w:rPr>
          <w:sz w:val="22"/>
          <w:szCs w:val="22"/>
        </w:rPr>
      </w:pPr>
    </w:p>
    <w:tbl>
      <w:tblPr>
        <w:tblStyle w:val="aff"/>
        <w:tblW w:w="0" w:type="auto"/>
        <w:tblLook w:val="04A0" w:firstRow="1" w:lastRow="0" w:firstColumn="1" w:lastColumn="0" w:noHBand="0" w:noVBand="1"/>
      </w:tblPr>
      <w:tblGrid>
        <w:gridCol w:w="9631"/>
      </w:tblGrid>
      <w:tr w:rsidR="00CF3C76" w14:paraId="55D9ED4E" w14:textId="77777777" w:rsidTr="00D4574E">
        <w:tc>
          <w:tcPr>
            <w:tcW w:w="9631" w:type="dxa"/>
          </w:tcPr>
          <w:p w14:paraId="545274F4" w14:textId="77777777" w:rsidR="00CF3C76" w:rsidRDefault="00CF3C76" w:rsidP="00CF3C76">
            <w:pPr>
              <w:spacing w:after="120"/>
              <w:rPr>
                <w:sz w:val="22"/>
                <w:szCs w:val="22"/>
              </w:rPr>
            </w:pPr>
            <w:r>
              <w:rPr>
                <w:sz w:val="22"/>
                <w:szCs w:val="22"/>
              </w:rPr>
              <w:t>(TS 38.214)</w:t>
            </w:r>
          </w:p>
          <w:p w14:paraId="089BA371" w14:textId="7337A962" w:rsidR="00CF3C76" w:rsidRPr="003B5212" w:rsidRDefault="00CF3C76" w:rsidP="003B5212">
            <w:pPr>
              <w:rPr>
                <w:sz w:val="22"/>
                <w:szCs w:val="22"/>
              </w:rPr>
            </w:pPr>
            <w:r w:rsidRPr="00CF3C76">
              <w:rPr>
                <w:sz w:val="22"/>
                <w:szCs w:val="22"/>
              </w:rPr>
              <w:t xml:space="preserve">otherwise, for 1T2R, up to two SRS resource sets configured with a different value for the higher layer parameter </w:t>
            </w:r>
            <w:proofErr w:type="spellStart"/>
            <w:r w:rsidRPr="00CF3C76">
              <w:rPr>
                <w:sz w:val="22"/>
                <w:szCs w:val="22"/>
              </w:rPr>
              <w:t>resourceType</w:t>
            </w:r>
            <w:proofErr w:type="spellEnd"/>
            <w:r w:rsidRPr="00CF3C76">
              <w:rPr>
                <w:sz w:val="22"/>
                <w:szCs w:val="22"/>
              </w:rPr>
              <w:t xml:space="preserve"> in SRS-</w:t>
            </w:r>
            <w:proofErr w:type="spellStart"/>
            <w:r w:rsidRPr="00CF3C76">
              <w:rPr>
                <w:sz w:val="22"/>
                <w:szCs w:val="22"/>
              </w:rPr>
              <w:t>ResourceSet</w:t>
            </w:r>
            <w:proofErr w:type="spellEnd"/>
            <w:r w:rsidRPr="00CF3C76">
              <w:rPr>
                <w:sz w:val="22"/>
                <w:szCs w:val="22"/>
              </w:rPr>
              <w:t xml:space="preserve"> set, where each set has two SRS resources transmitted in different symbols, each SRS resource in a given set consisting of a single SRS port, and the SRS port of the second resource in the set is associated with </w:t>
            </w:r>
            <w:r w:rsidRPr="00CF3C76">
              <w:rPr>
                <w:sz w:val="22"/>
                <w:szCs w:val="22"/>
                <w:highlight w:val="green"/>
              </w:rPr>
              <w:t>a different UE antenna port</w:t>
            </w:r>
            <w:r w:rsidRPr="00CF3C76">
              <w:rPr>
                <w:sz w:val="22"/>
                <w:szCs w:val="22"/>
              </w:rPr>
              <w:t xml:space="preserve"> than the SRS port of the first resource in the same set,</w:t>
            </w:r>
            <w:r>
              <w:rPr>
                <w:sz w:val="22"/>
                <w:szCs w:val="22"/>
              </w:rPr>
              <w:t xml:space="preserve"> o</w:t>
            </w:r>
            <w:r w:rsidR="006568CF">
              <w:rPr>
                <w:sz w:val="22"/>
                <w:szCs w:val="22"/>
              </w:rPr>
              <w:t>r</w:t>
            </w:r>
          </w:p>
        </w:tc>
      </w:tr>
    </w:tbl>
    <w:p w14:paraId="4E7B7274" w14:textId="19DB3DA3" w:rsidR="006568CF" w:rsidRPr="00B04F21" w:rsidRDefault="006568CF" w:rsidP="006568CF">
      <w:pPr>
        <w:spacing w:beforeLines="50" w:before="120" w:after="120"/>
        <w:rPr>
          <w:sz w:val="22"/>
          <w:szCs w:val="22"/>
        </w:rPr>
      </w:pPr>
    </w:p>
    <w:p w14:paraId="040C5619" w14:textId="507A07E9" w:rsidR="0071026E" w:rsidRPr="007E0BD6" w:rsidRDefault="0071026E" w:rsidP="00D633F4">
      <w:pPr>
        <w:spacing w:after="120"/>
        <w:rPr>
          <w:sz w:val="22"/>
          <w:szCs w:val="22"/>
        </w:rPr>
      </w:pPr>
      <w:r>
        <w:rPr>
          <w:sz w:val="22"/>
          <w:szCs w:val="22"/>
        </w:rPr>
        <w:t>Therefore, we have the following proposal:</w:t>
      </w:r>
    </w:p>
    <w:p w14:paraId="1F6AB837" w14:textId="55448E53" w:rsidR="00D633F4" w:rsidRDefault="00D633F4" w:rsidP="002A34F1">
      <w:pPr>
        <w:spacing w:after="120"/>
        <w:rPr>
          <w:b/>
          <w:bCs/>
          <w:i/>
          <w:iCs/>
          <w:sz w:val="22"/>
          <w:szCs w:val="22"/>
        </w:rPr>
      </w:pPr>
      <w:r w:rsidRPr="007E0BD6">
        <w:rPr>
          <w:b/>
          <w:bCs/>
          <w:i/>
          <w:iCs/>
          <w:sz w:val="22"/>
          <w:szCs w:val="22"/>
        </w:rPr>
        <w:t xml:space="preserve">Proposal </w:t>
      </w:r>
      <w:r>
        <w:rPr>
          <w:b/>
          <w:bCs/>
          <w:i/>
          <w:iCs/>
          <w:sz w:val="22"/>
          <w:szCs w:val="22"/>
        </w:rPr>
        <w:t>2</w:t>
      </w:r>
      <w:r w:rsidRPr="007E0BD6">
        <w:rPr>
          <w:b/>
          <w:bCs/>
          <w:i/>
          <w:iCs/>
          <w:sz w:val="22"/>
          <w:szCs w:val="22"/>
        </w:rPr>
        <w:t xml:space="preserve">: </w:t>
      </w:r>
      <w:r w:rsidR="005B466C">
        <w:rPr>
          <w:b/>
          <w:bCs/>
          <w:i/>
          <w:iCs/>
          <w:sz w:val="22"/>
          <w:szCs w:val="22"/>
        </w:rPr>
        <w:t>Endorse the following text proposal for TS 38.214:</w:t>
      </w:r>
    </w:p>
    <w:p w14:paraId="62DCD819" w14:textId="42EFE9E7" w:rsidR="00D633F4" w:rsidRDefault="005B466C" w:rsidP="00D633F4">
      <w:pPr>
        <w:pStyle w:val="afff0"/>
        <w:numPr>
          <w:ilvl w:val="0"/>
          <w:numId w:val="14"/>
        </w:numPr>
        <w:spacing w:after="120"/>
        <w:ind w:firstLineChars="0"/>
        <w:rPr>
          <w:rFonts w:ascii="Times New Roman" w:hAnsi="Times New Roman"/>
          <w:b/>
          <w:bCs/>
          <w:i/>
          <w:iCs/>
          <w:kern w:val="0"/>
          <w:sz w:val="22"/>
          <w:lang w:val="en-GB" w:eastAsia="zh-CN"/>
        </w:rPr>
      </w:pPr>
      <w:r w:rsidRPr="00B04F21">
        <w:rPr>
          <w:rFonts w:ascii="Times New Roman" w:hAnsi="Times New Roman"/>
          <w:b/>
          <w:i/>
          <w:sz w:val="22"/>
          <w:lang w:val="en-US"/>
        </w:rPr>
        <w:t xml:space="preserve">For a UE configured with multiple component carriers, and for a first component carrier configured with uplink in a first band and a second component carrier configured with uplink in a second band that are </w:t>
      </w:r>
      <w:proofErr w:type="spellStart"/>
      <w:r w:rsidRPr="00B04F21">
        <w:rPr>
          <w:rFonts w:ascii="Times New Roman" w:hAnsi="Times New Roman"/>
          <w:b/>
          <w:i/>
          <w:sz w:val="22"/>
          <w:lang w:val="en-US"/>
        </w:rPr>
        <w:t>signalled</w:t>
      </w:r>
      <w:proofErr w:type="spellEnd"/>
      <w:r w:rsidRPr="00B04F21">
        <w:rPr>
          <w:rFonts w:ascii="Times New Roman" w:hAnsi="Times New Roman"/>
          <w:b/>
          <w:i/>
          <w:sz w:val="22"/>
          <w:lang w:val="en-US"/>
        </w:rPr>
        <w:t xml:space="preserve"> to switch together according to higher layer parameter </w:t>
      </w:r>
      <w:proofErr w:type="spellStart"/>
      <w:r w:rsidRPr="00B04F21">
        <w:rPr>
          <w:rFonts w:ascii="Times New Roman" w:hAnsi="Times New Roman"/>
          <w:b/>
          <w:i/>
          <w:iCs/>
          <w:sz w:val="22"/>
          <w:lang w:val="en-US"/>
        </w:rPr>
        <w:t>txSwitchWithAnotherBand</w:t>
      </w:r>
      <w:proofErr w:type="spellEnd"/>
      <w:r w:rsidRPr="00B04F21">
        <w:rPr>
          <w:rFonts w:ascii="Times New Roman" w:hAnsi="Times New Roman"/>
          <w:b/>
          <w:i/>
          <w:sz w:val="22"/>
          <w:lang w:val="en-US"/>
        </w:rPr>
        <w:t xml:space="preserve"> the UE is not expected to </w:t>
      </w:r>
      <w:r>
        <w:rPr>
          <w:rFonts w:ascii="Times New Roman" w:hAnsi="Times New Roman"/>
          <w:b/>
          <w:i/>
          <w:sz w:val="22"/>
          <w:lang w:val="en-US"/>
        </w:rPr>
        <w:t>transmit PUSCH/PUCCH/SRS with different UE antenna ports</w:t>
      </w:r>
      <w:r w:rsidRPr="00B04F21">
        <w:rPr>
          <w:rFonts w:ascii="Times New Roman" w:hAnsi="Times New Roman"/>
          <w:b/>
          <w:i/>
          <w:sz w:val="22"/>
          <w:lang w:val="en-US"/>
        </w:rPr>
        <w:t>.</w:t>
      </w:r>
    </w:p>
    <w:p w14:paraId="0606D25F" w14:textId="3318D084" w:rsidR="009D4EC2" w:rsidRPr="006568CF" w:rsidRDefault="009D4EC2" w:rsidP="007E0BD6">
      <w:pPr>
        <w:spacing w:after="120"/>
      </w:pPr>
    </w:p>
    <w:p w14:paraId="41653512" w14:textId="54F6425D" w:rsidR="00AB7763" w:rsidRDefault="00544699" w:rsidP="00AB7763">
      <w:pPr>
        <w:pStyle w:val="1"/>
        <w:keepLines w:val="0"/>
        <w:pBdr>
          <w:top w:val="none" w:sz="0" w:space="0" w:color="auto"/>
        </w:pBdr>
        <w:tabs>
          <w:tab w:val="clear" w:pos="397"/>
          <w:tab w:val="num" w:pos="432"/>
        </w:tabs>
        <w:overflowPunct/>
        <w:snapToGrid w:val="0"/>
        <w:spacing w:before="120" w:after="120"/>
        <w:ind w:left="432" w:hanging="432"/>
        <w:jc w:val="both"/>
        <w:textAlignment w:val="auto"/>
        <w:rPr>
          <w:rFonts w:ascii="Times New Roman" w:hAnsi="Times New Roman"/>
          <w:b/>
          <w:sz w:val="28"/>
          <w:szCs w:val="28"/>
        </w:rPr>
      </w:pPr>
      <w:r>
        <w:rPr>
          <w:rFonts w:ascii="Times New Roman" w:hAnsi="Times New Roman"/>
          <w:b/>
          <w:sz w:val="28"/>
          <w:szCs w:val="28"/>
        </w:rPr>
        <w:t>Conclusion</w:t>
      </w:r>
    </w:p>
    <w:p w14:paraId="772A3807" w14:textId="77777777" w:rsidR="00E40747" w:rsidRDefault="00E40747" w:rsidP="00E40747">
      <w:pPr>
        <w:spacing w:after="120"/>
        <w:rPr>
          <w:b/>
          <w:bCs/>
          <w:i/>
          <w:iCs/>
          <w:sz w:val="22"/>
          <w:szCs w:val="22"/>
        </w:rPr>
      </w:pPr>
    </w:p>
    <w:p w14:paraId="660352D4" w14:textId="77777777" w:rsidR="006B73B3" w:rsidRPr="00D4574E" w:rsidRDefault="006B73B3" w:rsidP="006B73B3">
      <w:pPr>
        <w:spacing w:after="120"/>
        <w:rPr>
          <w:b/>
          <w:bCs/>
          <w:i/>
          <w:iCs/>
          <w:sz w:val="22"/>
          <w:szCs w:val="22"/>
        </w:rPr>
      </w:pPr>
      <w:r w:rsidRPr="00D4574E">
        <w:rPr>
          <w:b/>
          <w:bCs/>
          <w:i/>
          <w:iCs/>
          <w:sz w:val="22"/>
          <w:szCs w:val="22"/>
        </w:rPr>
        <w:t>Observation 1: For FDD-TDD band combinations, the SRS antenna switching in TDD band impacts on the uplink transmission of the FDD band.</w:t>
      </w:r>
    </w:p>
    <w:p w14:paraId="54586717" w14:textId="77777777" w:rsidR="006B73B3" w:rsidRPr="007E0BD6" w:rsidRDefault="006B73B3" w:rsidP="006B73B3">
      <w:pPr>
        <w:spacing w:after="120"/>
        <w:rPr>
          <w:b/>
          <w:bCs/>
          <w:i/>
          <w:iCs/>
          <w:sz w:val="22"/>
          <w:szCs w:val="22"/>
        </w:rPr>
      </w:pPr>
      <w:r w:rsidRPr="007E0BD6">
        <w:rPr>
          <w:b/>
          <w:bCs/>
          <w:i/>
          <w:iCs/>
          <w:sz w:val="22"/>
          <w:szCs w:val="22"/>
        </w:rPr>
        <w:t xml:space="preserve">Observation 2: For LTE, a CR in RAN1 was approved and RAN2 introduced UE capabilities </w:t>
      </w:r>
      <w:proofErr w:type="spellStart"/>
      <w:r w:rsidRPr="007E0BD6">
        <w:rPr>
          <w:b/>
          <w:bCs/>
          <w:i/>
          <w:iCs/>
          <w:sz w:val="22"/>
          <w:szCs w:val="22"/>
        </w:rPr>
        <w:t>txAntennaSwitchUL</w:t>
      </w:r>
      <w:proofErr w:type="spellEnd"/>
      <w:r w:rsidRPr="007E0BD6">
        <w:rPr>
          <w:b/>
          <w:bCs/>
          <w:i/>
          <w:iCs/>
          <w:sz w:val="22"/>
          <w:szCs w:val="22"/>
        </w:rPr>
        <w:t xml:space="preserve"> to resolve the issues in FDD-TDD band combinations.</w:t>
      </w:r>
    </w:p>
    <w:p w14:paraId="34E6665E" w14:textId="77777777" w:rsidR="006B73B3" w:rsidRPr="007E0BD6" w:rsidRDefault="006B73B3" w:rsidP="006B73B3">
      <w:pPr>
        <w:spacing w:after="120"/>
        <w:rPr>
          <w:b/>
          <w:bCs/>
          <w:i/>
          <w:iCs/>
          <w:sz w:val="22"/>
          <w:szCs w:val="22"/>
        </w:rPr>
      </w:pPr>
      <w:r w:rsidRPr="007E0BD6">
        <w:rPr>
          <w:b/>
          <w:bCs/>
          <w:i/>
          <w:iCs/>
          <w:sz w:val="22"/>
          <w:szCs w:val="22"/>
        </w:rPr>
        <w:t>Observation 3: For NR, there is no clarification for the expected scheduling restrictions for the affected band in EN-DC/NR CA FDD-TDD band combinations.</w:t>
      </w:r>
    </w:p>
    <w:p w14:paraId="335AF9E9" w14:textId="77777777" w:rsidR="006B73B3" w:rsidRPr="007E0BD6" w:rsidRDefault="006B73B3" w:rsidP="006B73B3">
      <w:pPr>
        <w:spacing w:after="120"/>
        <w:rPr>
          <w:b/>
          <w:bCs/>
          <w:i/>
          <w:iCs/>
          <w:sz w:val="22"/>
          <w:szCs w:val="22"/>
        </w:rPr>
      </w:pPr>
      <w:r w:rsidRPr="007E0BD6">
        <w:rPr>
          <w:b/>
          <w:bCs/>
          <w:i/>
          <w:iCs/>
          <w:sz w:val="22"/>
          <w:szCs w:val="22"/>
        </w:rPr>
        <w:t>Proposal 1: Support the following restrictions for TDD-FDD combinations where some bands support Tx antenna switching:</w:t>
      </w:r>
    </w:p>
    <w:p w14:paraId="443237AF" w14:textId="77777777" w:rsidR="006B73B3" w:rsidRDefault="006B73B3" w:rsidP="006B73B3">
      <w:pPr>
        <w:pStyle w:val="afff0"/>
        <w:numPr>
          <w:ilvl w:val="0"/>
          <w:numId w:val="14"/>
        </w:numPr>
        <w:spacing w:after="120"/>
        <w:ind w:firstLineChars="0"/>
        <w:rPr>
          <w:rFonts w:ascii="Times New Roman" w:hAnsi="Times New Roman"/>
          <w:b/>
          <w:bCs/>
          <w:i/>
          <w:iCs/>
          <w:kern w:val="0"/>
          <w:sz w:val="22"/>
          <w:lang w:val="en-GB" w:eastAsia="zh-CN"/>
        </w:rPr>
      </w:pPr>
      <w:r w:rsidRPr="007E0BD6">
        <w:rPr>
          <w:rFonts w:ascii="Times New Roman" w:hAnsi="Times New Roman"/>
          <w:b/>
          <w:bCs/>
          <w:i/>
          <w:iCs/>
          <w:kern w:val="0"/>
          <w:sz w:val="22"/>
          <w:lang w:val="en-GB" w:eastAsia="zh-CN"/>
        </w:rPr>
        <w:t>For each uplink band, the UE is not expected to transmit uplink channels/signals on different antenna ports with bands reported by</w:t>
      </w:r>
      <w:r w:rsidRPr="007E0BD6">
        <w:rPr>
          <w:sz w:val="22"/>
        </w:rPr>
        <w:t xml:space="preserve"> </w:t>
      </w:r>
      <w:proofErr w:type="spellStart"/>
      <w:r w:rsidRPr="007E0BD6">
        <w:rPr>
          <w:rFonts w:ascii="Times New Roman" w:hAnsi="Times New Roman"/>
          <w:b/>
          <w:bCs/>
          <w:i/>
          <w:iCs/>
          <w:kern w:val="0"/>
          <w:sz w:val="22"/>
          <w:lang w:val="en-GB" w:eastAsia="zh-CN"/>
        </w:rPr>
        <w:t>txSwitchWithAnotherBand</w:t>
      </w:r>
      <w:proofErr w:type="spellEnd"/>
      <w:r w:rsidRPr="007E0BD6">
        <w:rPr>
          <w:rFonts w:ascii="Times New Roman" w:hAnsi="Times New Roman"/>
          <w:b/>
          <w:bCs/>
          <w:i/>
          <w:iCs/>
          <w:kern w:val="0"/>
          <w:sz w:val="22"/>
          <w:lang w:val="en-GB" w:eastAsia="zh-CN"/>
        </w:rPr>
        <w:t>.</w:t>
      </w:r>
    </w:p>
    <w:p w14:paraId="558F1ED2" w14:textId="77777777" w:rsidR="006B73B3" w:rsidRPr="007E0BD6" w:rsidRDefault="006B73B3" w:rsidP="006B73B3">
      <w:pPr>
        <w:pStyle w:val="afff0"/>
        <w:numPr>
          <w:ilvl w:val="0"/>
          <w:numId w:val="14"/>
        </w:numPr>
        <w:spacing w:after="120"/>
        <w:ind w:firstLineChars="0"/>
        <w:rPr>
          <w:rFonts w:ascii="Times New Roman" w:hAnsi="Times New Roman"/>
          <w:b/>
          <w:bCs/>
          <w:i/>
          <w:iCs/>
          <w:kern w:val="0"/>
          <w:sz w:val="22"/>
          <w:lang w:val="en-GB" w:eastAsia="zh-CN"/>
        </w:rPr>
      </w:pPr>
      <w:r w:rsidRPr="006568CF">
        <w:rPr>
          <w:rFonts w:ascii="Times New Roman" w:hAnsi="Times New Roman"/>
          <w:b/>
          <w:bCs/>
          <w:i/>
          <w:iCs/>
          <w:kern w:val="0"/>
          <w:sz w:val="22"/>
          <w:lang w:val="en-GB" w:eastAsia="zh-CN"/>
        </w:rPr>
        <w:t>The above is clarified in spec by CR.</w:t>
      </w:r>
    </w:p>
    <w:p w14:paraId="2AF3F6B7" w14:textId="77777777" w:rsidR="00482E2E" w:rsidRDefault="00482E2E" w:rsidP="00A95EA7">
      <w:pPr>
        <w:spacing w:after="120"/>
        <w:rPr>
          <w:b/>
          <w:bCs/>
          <w:i/>
          <w:iCs/>
          <w:sz w:val="22"/>
          <w:szCs w:val="22"/>
        </w:rPr>
      </w:pPr>
      <w:r w:rsidRPr="007E0BD6">
        <w:rPr>
          <w:b/>
          <w:bCs/>
          <w:i/>
          <w:iCs/>
          <w:sz w:val="22"/>
          <w:szCs w:val="22"/>
        </w:rPr>
        <w:t xml:space="preserve">Proposal </w:t>
      </w:r>
      <w:r>
        <w:rPr>
          <w:b/>
          <w:bCs/>
          <w:i/>
          <w:iCs/>
          <w:sz w:val="22"/>
          <w:szCs w:val="22"/>
        </w:rPr>
        <w:t>2</w:t>
      </w:r>
      <w:r w:rsidRPr="007E0BD6">
        <w:rPr>
          <w:b/>
          <w:bCs/>
          <w:i/>
          <w:iCs/>
          <w:sz w:val="22"/>
          <w:szCs w:val="22"/>
        </w:rPr>
        <w:t xml:space="preserve">: </w:t>
      </w:r>
      <w:r>
        <w:rPr>
          <w:b/>
          <w:bCs/>
          <w:i/>
          <w:iCs/>
          <w:sz w:val="22"/>
          <w:szCs w:val="22"/>
        </w:rPr>
        <w:t>Endorse the following text proposal for TS 38.214:</w:t>
      </w:r>
    </w:p>
    <w:p w14:paraId="1296DD01" w14:textId="5A76E618" w:rsidR="006F385E" w:rsidRPr="00FD5597" w:rsidRDefault="00482E2E" w:rsidP="006F385E">
      <w:pPr>
        <w:pStyle w:val="afff0"/>
        <w:numPr>
          <w:ilvl w:val="0"/>
          <w:numId w:val="14"/>
        </w:numPr>
        <w:spacing w:after="120"/>
        <w:ind w:firstLineChars="0"/>
        <w:rPr>
          <w:rFonts w:ascii="Times New Roman" w:hAnsi="Times New Roman"/>
          <w:b/>
          <w:bCs/>
          <w:i/>
          <w:iCs/>
          <w:kern w:val="0"/>
          <w:sz w:val="22"/>
          <w:lang w:val="en-GB" w:eastAsia="zh-CN"/>
        </w:rPr>
      </w:pPr>
      <w:r w:rsidRPr="00FD5597">
        <w:rPr>
          <w:rFonts w:ascii="Times New Roman" w:hAnsi="Times New Roman"/>
          <w:b/>
          <w:i/>
          <w:sz w:val="22"/>
          <w:lang w:val="en-US"/>
        </w:rPr>
        <w:t xml:space="preserve">For a UE configured with multiple component carriers, and for a first component carrier configured with uplink in a first band and a second component carrier configured with uplink in a second band that are </w:t>
      </w:r>
      <w:proofErr w:type="spellStart"/>
      <w:r w:rsidRPr="00FD5597">
        <w:rPr>
          <w:rFonts w:ascii="Times New Roman" w:hAnsi="Times New Roman"/>
          <w:b/>
          <w:i/>
          <w:sz w:val="22"/>
          <w:lang w:val="en-US"/>
        </w:rPr>
        <w:t>signalled</w:t>
      </w:r>
      <w:proofErr w:type="spellEnd"/>
      <w:r w:rsidRPr="00FD5597">
        <w:rPr>
          <w:rFonts w:ascii="Times New Roman" w:hAnsi="Times New Roman"/>
          <w:b/>
          <w:i/>
          <w:sz w:val="22"/>
          <w:lang w:val="en-US"/>
        </w:rPr>
        <w:t xml:space="preserve"> to switch together according to higher layer parameter </w:t>
      </w:r>
      <w:proofErr w:type="spellStart"/>
      <w:r w:rsidRPr="00FD5597">
        <w:rPr>
          <w:rFonts w:ascii="Times New Roman" w:hAnsi="Times New Roman"/>
          <w:b/>
          <w:i/>
          <w:iCs/>
          <w:sz w:val="22"/>
          <w:lang w:val="en-US"/>
        </w:rPr>
        <w:t>txSwitchWithAnotherBand</w:t>
      </w:r>
      <w:proofErr w:type="spellEnd"/>
      <w:r w:rsidRPr="00FD5597">
        <w:rPr>
          <w:rFonts w:ascii="Times New Roman" w:hAnsi="Times New Roman"/>
          <w:b/>
          <w:i/>
          <w:sz w:val="22"/>
          <w:lang w:val="en-US"/>
        </w:rPr>
        <w:t xml:space="preserve"> the UE is not expected to transmit PUSCH/PUCCH/SRS with different UE antenna ports.</w:t>
      </w:r>
    </w:p>
    <w:p w14:paraId="7C79D3FE" w14:textId="4C6E2B00" w:rsidR="00923B5A" w:rsidRPr="00544699" w:rsidRDefault="00923B5A" w:rsidP="007E0BD6">
      <w:pPr>
        <w:pStyle w:val="1"/>
        <w:keepLines w:val="0"/>
        <w:numPr>
          <w:ilvl w:val="0"/>
          <w:numId w:val="0"/>
        </w:numPr>
        <w:pBdr>
          <w:top w:val="none" w:sz="0" w:space="0" w:color="auto"/>
        </w:pBdr>
        <w:overflowPunct/>
        <w:snapToGrid w:val="0"/>
        <w:spacing w:before="120" w:after="120"/>
        <w:ind w:leftChars="88" w:left="707" w:hangingChars="189" w:hanging="531"/>
        <w:jc w:val="both"/>
        <w:textAlignment w:val="auto"/>
        <w:rPr>
          <w:rFonts w:ascii="Times New Roman" w:hAnsi="Times New Roman"/>
          <w:b/>
          <w:sz w:val="28"/>
          <w:szCs w:val="28"/>
        </w:rPr>
      </w:pPr>
      <w:r w:rsidRPr="00923B5A">
        <w:rPr>
          <w:rFonts w:ascii="Times New Roman" w:hAnsi="Times New Roman" w:hint="eastAsia"/>
          <w:b/>
          <w:sz w:val="28"/>
          <w:szCs w:val="28"/>
        </w:rPr>
        <w:t>Reference</w:t>
      </w:r>
      <w:r w:rsidR="00B46DD7" w:rsidRPr="00B46DD7">
        <w:rPr>
          <w:rFonts w:ascii="Times New Roman" w:hAnsi="Times New Roman" w:hint="eastAsia"/>
          <w:b/>
          <w:sz w:val="28"/>
          <w:szCs w:val="28"/>
        </w:rPr>
        <w:t>s</w:t>
      </w:r>
    </w:p>
    <w:p w14:paraId="08D36050" w14:textId="2EC8F710" w:rsidR="00B46DD7" w:rsidRDefault="00B46DD7" w:rsidP="007E0BD6">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bookmarkStart w:id="9" w:name="_Ref94343016"/>
      <w:r w:rsidRPr="00B46DD7">
        <w:rPr>
          <w:rFonts w:ascii="Times New Roman" w:hAnsi="Times New Roman"/>
          <w:sz w:val="22"/>
        </w:rPr>
        <w:t>R1-2302268</w:t>
      </w:r>
      <w:r w:rsidR="00306715">
        <w:rPr>
          <w:rFonts w:ascii="Times New Roman" w:hAnsi="Times New Roman"/>
          <w:sz w:val="22"/>
          <w:lang w:val="en-US"/>
        </w:rPr>
        <w:t xml:space="preserve"> </w:t>
      </w:r>
      <w:r w:rsidR="00B771EC">
        <w:rPr>
          <w:rFonts w:ascii="Times New Roman" w:hAnsi="Times New Roman"/>
          <w:sz w:val="22"/>
          <w:lang w:val="en-US"/>
        </w:rPr>
        <w:t>(R4-2303633)</w:t>
      </w:r>
      <w:r>
        <w:rPr>
          <w:rFonts w:ascii="Times New Roman" w:hAnsi="Times New Roman" w:hint="eastAsia"/>
          <w:sz w:val="22"/>
          <w:lang w:eastAsia="zh-CN"/>
        </w:rPr>
        <w:t>,</w:t>
      </w:r>
      <w:r>
        <w:rPr>
          <w:rFonts w:ascii="Times New Roman" w:hAnsi="Times New Roman"/>
          <w:sz w:val="22"/>
          <w:lang w:eastAsia="zh-CN"/>
        </w:rPr>
        <w:t xml:space="preserve"> Huawei</w:t>
      </w:r>
      <w:r>
        <w:rPr>
          <w:rFonts w:ascii="Times New Roman" w:hAnsi="Times New Roman" w:hint="eastAsia"/>
          <w:sz w:val="22"/>
          <w:lang w:eastAsia="zh-CN"/>
        </w:rPr>
        <w:t>/</w:t>
      </w:r>
      <w:r>
        <w:rPr>
          <w:rFonts w:ascii="Times New Roman" w:hAnsi="Times New Roman"/>
          <w:sz w:val="22"/>
          <w:lang w:eastAsia="zh-CN"/>
        </w:rPr>
        <w:t xml:space="preserve">Hisilicon, </w:t>
      </w:r>
      <w:r w:rsidRPr="00B46DD7">
        <w:rPr>
          <w:rFonts w:ascii="Times New Roman" w:hAnsi="Times New Roman"/>
          <w:sz w:val="22"/>
          <w:lang w:eastAsia="zh-CN"/>
        </w:rPr>
        <w:t>LS on clarification on impact of SRS antenna switching for TDD-FDD band combinations</w:t>
      </w:r>
      <w:r w:rsidR="00765793">
        <w:rPr>
          <w:rFonts w:ascii="Times New Roman" w:hAnsi="Times New Roman"/>
          <w:sz w:val="22"/>
          <w:lang w:val="en-US" w:eastAsia="zh-CN"/>
        </w:rPr>
        <w:t>, From: RAN4, To: RAN1, RAN2</w:t>
      </w:r>
      <w:r w:rsidR="00E75B81">
        <w:rPr>
          <w:rFonts w:ascii="Times New Roman" w:hAnsi="Times New Roman"/>
          <w:sz w:val="22"/>
          <w:lang w:eastAsia="zh-CN"/>
        </w:rPr>
        <w:t>.</w:t>
      </w:r>
    </w:p>
    <w:p w14:paraId="6EDD5D03" w14:textId="0947CE4E" w:rsidR="00B46DD7" w:rsidRDefault="00B46DD7" w:rsidP="007E0BD6">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B46DD7">
        <w:rPr>
          <w:rFonts w:ascii="Times New Roman" w:hAnsi="Times New Roman"/>
          <w:sz w:val="22"/>
          <w:lang w:eastAsia="zh-CN"/>
        </w:rPr>
        <w:t>R1-171533</w:t>
      </w:r>
      <w:r w:rsidR="00E75B81">
        <w:rPr>
          <w:rFonts w:ascii="Times New Roman" w:hAnsi="Times New Roman"/>
          <w:sz w:val="22"/>
          <w:lang w:eastAsia="zh-CN"/>
        </w:rPr>
        <w:t>5</w:t>
      </w:r>
      <w:r>
        <w:rPr>
          <w:rFonts w:ascii="Times New Roman" w:hAnsi="Times New Roman"/>
          <w:sz w:val="22"/>
          <w:lang w:eastAsia="zh-CN"/>
        </w:rPr>
        <w:t xml:space="preserve">, </w:t>
      </w:r>
      <w:r w:rsidRPr="00B46DD7">
        <w:rPr>
          <w:rFonts w:ascii="Times New Roman" w:hAnsi="Times New Roman"/>
          <w:sz w:val="22"/>
          <w:lang w:eastAsia="zh-CN"/>
        </w:rPr>
        <w:t>Corrections for antenna switching</w:t>
      </w:r>
      <w:r w:rsidR="004B7E50">
        <w:rPr>
          <w:rFonts w:ascii="Times New Roman" w:hAnsi="Times New Roman"/>
          <w:sz w:val="22"/>
          <w:lang w:val="en-US" w:eastAsia="zh-CN"/>
        </w:rPr>
        <w:t>, From: RAN1, To: RAN2, RAN4</w:t>
      </w:r>
      <w:r w:rsidR="00E75B81">
        <w:rPr>
          <w:rFonts w:ascii="Times New Roman" w:hAnsi="Times New Roman"/>
          <w:sz w:val="22"/>
          <w:lang w:eastAsia="zh-CN"/>
        </w:rPr>
        <w:t>.</w:t>
      </w:r>
    </w:p>
    <w:p w14:paraId="394197D7" w14:textId="32E4BFEB" w:rsidR="00E75B81" w:rsidRDefault="00E75B81" w:rsidP="007E0BD6">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E75B81">
        <w:rPr>
          <w:rFonts w:ascii="Times New Roman" w:hAnsi="Times New Roman"/>
          <w:sz w:val="22"/>
          <w:lang w:eastAsia="zh-CN"/>
        </w:rPr>
        <w:t>R1-171533</w:t>
      </w:r>
      <w:r>
        <w:rPr>
          <w:rFonts w:ascii="Times New Roman" w:hAnsi="Times New Roman"/>
          <w:sz w:val="22"/>
          <w:lang w:eastAsia="zh-CN"/>
        </w:rPr>
        <w:t>6</w:t>
      </w:r>
      <w:r w:rsidRPr="00E75B81">
        <w:rPr>
          <w:rFonts w:ascii="Times New Roman" w:hAnsi="Times New Roman"/>
          <w:sz w:val="22"/>
          <w:lang w:eastAsia="zh-CN"/>
        </w:rPr>
        <w:t xml:space="preserve">, </w:t>
      </w:r>
      <w:r w:rsidR="004B7E50" w:rsidRPr="004B7E50">
        <w:rPr>
          <w:rFonts w:ascii="Times New Roman" w:hAnsi="Times New Roman"/>
          <w:sz w:val="22"/>
          <w:lang w:eastAsia="zh-CN"/>
        </w:rPr>
        <w:t>Qualcomm Incorporated</w:t>
      </w:r>
      <w:r w:rsidR="004B7E50">
        <w:rPr>
          <w:rFonts w:ascii="Times New Roman" w:hAnsi="Times New Roman"/>
          <w:sz w:val="22"/>
          <w:lang w:val="en-US" w:eastAsia="zh-CN"/>
        </w:rPr>
        <w:t>,</w:t>
      </w:r>
      <w:r w:rsidR="004B7E50" w:rsidRPr="004B7E50">
        <w:rPr>
          <w:rFonts w:ascii="Times New Roman" w:hAnsi="Times New Roman"/>
          <w:sz w:val="22"/>
          <w:lang w:eastAsia="zh-CN"/>
        </w:rPr>
        <w:t xml:space="preserve"> </w:t>
      </w:r>
      <w:r w:rsidRPr="00E75B81">
        <w:rPr>
          <w:rFonts w:ascii="Times New Roman" w:hAnsi="Times New Roman"/>
          <w:sz w:val="22"/>
          <w:lang w:eastAsia="zh-CN"/>
        </w:rPr>
        <w:t>Corrections on antenna switching</w:t>
      </w:r>
      <w:r>
        <w:rPr>
          <w:rFonts w:ascii="Times New Roman" w:hAnsi="Times New Roman"/>
          <w:sz w:val="22"/>
          <w:lang w:eastAsia="zh-CN"/>
        </w:rPr>
        <w:t>.</w:t>
      </w:r>
    </w:p>
    <w:p w14:paraId="27AB94D7" w14:textId="1EA6A592" w:rsidR="00923B5A" w:rsidRDefault="00E75B81" w:rsidP="007E0BD6">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E75B81">
        <w:rPr>
          <w:rFonts w:ascii="Times New Roman" w:hAnsi="Times New Roman"/>
          <w:sz w:val="22"/>
          <w:lang w:eastAsia="zh-CN"/>
        </w:rPr>
        <w:t>R1</w:t>
      </w:r>
      <w:r w:rsidRPr="00E75B81">
        <w:rPr>
          <w:rFonts w:ascii="Times New Roman" w:hAnsi="Times New Roman"/>
          <w:sz w:val="22"/>
        </w:rPr>
        <w:t>-1712769</w:t>
      </w:r>
      <w:r>
        <w:rPr>
          <w:rFonts w:ascii="Times New Roman" w:hAnsi="Times New Roman"/>
          <w:sz w:val="22"/>
        </w:rPr>
        <w:t>,</w:t>
      </w:r>
      <w:r w:rsidRPr="00E75B81">
        <w:rPr>
          <w:rFonts w:ascii="Times New Roman" w:hAnsi="Times New Roman"/>
          <w:sz w:val="22"/>
        </w:rPr>
        <w:t xml:space="preserve"> Qualcomm Incorporated</w:t>
      </w:r>
      <w:r>
        <w:rPr>
          <w:rFonts w:ascii="Times New Roman" w:hAnsi="Times New Roman"/>
          <w:sz w:val="22"/>
        </w:rPr>
        <w:t>,</w:t>
      </w:r>
      <w:r w:rsidRPr="00E75B81">
        <w:rPr>
          <w:rFonts w:ascii="Times New Roman" w:hAnsi="Times New Roman"/>
          <w:sz w:val="22"/>
        </w:rPr>
        <w:t xml:space="preserve"> Discussion on simultaneous PUSCH and SRS transmission from different antenna ports</w:t>
      </w:r>
      <w:r>
        <w:rPr>
          <w:rFonts w:ascii="Times New Roman" w:hAnsi="Times New Roman"/>
          <w:sz w:val="22"/>
        </w:rPr>
        <w:t>.</w:t>
      </w:r>
      <w:bookmarkEnd w:id="9"/>
    </w:p>
    <w:p w14:paraId="7A2A85F6" w14:textId="27481642" w:rsidR="00E75B81" w:rsidRDefault="00E75B81" w:rsidP="007E0BD6">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E75B81">
        <w:rPr>
          <w:rFonts w:ascii="Times New Roman" w:hAnsi="Times New Roman"/>
          <w:sz w:val="22"/>
          <w:lang w:eastAsia="zh-CN"/>
        </w:rPr>
        <w:t>R1-1714181</w:t>
      </w:r>
      <w:r>
        <w:rPr>
          <w:rFonts w:ascii="Times New Roman" w:hAnsi="Times New Roman"/>
          <w:sz w:val="22"/>
          <w:lang w:eastAsia="zh-CN"/>
        </w:rPr>
        <w:t xml:space="preserve">, </w:t>
      </w:r>
      <w:r w:rsidRPr="00E75B81">
        <w:rPr>
          <w:rFonts w:ascii="Times New Roman" w:hAnsi="Times New Roman"/>
          <w:sz w:val="22"/>
          <w:lang w:eastAsia="zh-CN"/>
        </w:rPr>
        <w:t>SoftBank</w:t>
      </w:r>
      <w:r>
        <w:rPr>
          <w:rFonts w:ascii="Times New Roman" w:hAnsi="Times New Roman"/>
          <w:sz w:val="22"/>
          <w:lang w:eastAsia="zh-CN"/>
        </w:rPr>
        <w:t xml:space="preserve">, </w:t>
      </w:r>
      <w:r w:rsidRPr="00E75B81">
        <w:rPr>
          <w:rFonts w:ascii="Times New Roman" w:hAnsi="Times New Roman"/>
          <w:sz w:val="22"/>
          <w:lang w:eastAsia="zh-CN"/>
        </w:rPr>
        <w:t>Clarification on Closed-loop UE Tx antenna selection for UL CA</w:t>
      </w:r>
    </w:p>
    <w:p w14:paraId="46E0D5A3" w14:textId="25E800AE" w:rsidR="00765793" w:rsidRPr="00E75B81" w:rsidRDefault="00765793" w:rsidP="007E0BD6">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eastAsia="zh-CN"/>
        </w:rPr>
      </w:pPr>
      <w:r w:rsidRPr="00765793">
        <w:rPr>
          <w:rFonts w:ascii="Times New Roman" w:hAnsi="Times New Roman"/>
          <w:sz w:val="22"/>
          <w:lang w:eastAsia="zh-CN"/>
        </w:rPr>
        <w:t>R4-1708772</w:t>
      </w:r>
      <w:r>
        <w:rPr>
          <w:rFonts w:ascii="Times New Roman" w:hAnsi="Times New Roman"/>
          <w:sz w:val="22"/>
          <w:lang w:val="en-US" w:eastAsia="zh-CN"/>
        </w:rPr>
        <w:t xml:space="preserve">, </w:t>
      </w:r>
      <w:r w:rsidRPr="00765793">
        <w:rPr>
          <w:rFonts w:ascii="Times New Roman" w:hAnsi="Times New Roman"/>
          <w:sz w:val="22"/>
          <w:lang w:val="en-US" w:eastAsia="zh-CN"/>
        </w:rPr>
        <w:t>LS on effect of SRS switching in TDD + FDD CA</w:t>
      </w:r>
      <w:r>
        <w:rPr>
          <w:rFonts w:ascii="Times New Roman" w:hAnsi="Times New Roman"/>
          <w:sz w:val="22"/>
          <w:lang w:val="en-US" w:eastAsia="zh-CN"/>
        </w:rPr>
        <w:t xml:space="preserve">, </w:t>
      </w:r>
      <w:r w:rsidR="009C2FA7">
        <w:rPr>
          <w:rFonts w:ascii="Times New Roman" w:hAnsi="Times New Roman"/>
          <w:sz w:val="22"/>
          <w:lang w:val="en-US" w:eastAsia="zh-CN"/>
        </w:rPr>
        <w:t>From: RAN4, To: RAN1, RAN2</w:t>
      </w:r>
    </w:p>
    <w:p w14:paraId="1C3AC7F6" w14:textId="79404383" w:rsidR="006568CF" w:rsidRPr="00B820D3" w:rsidRDefault="006568CF" w:rsidP="006568CF">
      <w:pPr>
        <w:pStyle w:val="afff0"/>
        <w:widowControl/>
        <w:numPr>
          <w:ilvl w:val="0"/>
          <w:numId w:val="17"/>
        </w:numPr>
        <w:autoSpaceDE w:val="0"/>
        <w:autoSpaceDN w:val="0"/>
        <w:adjustRightInd w:val="0"/>
        <w:snapToGrid w:val="0"/>
        <w:spacing w:after="120"/>
        <w:ind w:left="418" w:firstLineChars="0" w:hanging="418"/>
        <w:contextualSpacing/>
        <w:rPr>
          <w:rFonts w:ascii="Times New Roman" w:hAnsi="Times New Roman"/>
          <w:sz w:val="22"/>
          <w:lang w:val="en-GB"/>
        </w:rPr>
      </w:pPr>
      <w:r w:rsidRPr="00B820D3">
        <w:rPr>
          <w:rFonts w:ascii="Times New Roman" w:hAnsi="Times New Roman"/>
          <w:sz w:val="22"/>
          <w:lang w:val="en-GB"/>
        </w:rPr>
        <w:lastRenderedPageBreak/>
        <w:t>R1-2303558</w:t>
      </w:r>
      <w:r>
        <w:rPr>
          <w:rFonts w:ascii="Times New Roman" w:hAnsi="Times New Roman"/>
          <w:sz w:val="22"/>
          <w:lang w:val="en-GB"/>
        </w:rPr>
        <w:t xml:space="preserve">, </w:t>
      </w:r>
      <w:r w:rsidRPr="00B820D3">
        <w:rPr>
          <w:rFonts w:ascii="Times New Roman" w:hAnsi="Times New Roman"/>
          <w:sz w:val="22"/>
          <w:lang w:val="en-GB"/>
        </w:rPr>
        <w:t>Clarification on SRS antenna switching</w:t>
      </w:r>
      <w:r>
        <w:rPr>
          <w:rFonts w:ascii="Times New Roman" w:hAnsi="Times New Roman"/>
          <w:sz w:val="22"/>
          <w:lang w:val="en-GB"/>
        </w:rPr>
        <w:t xml:space="preserve">, </w:t>
      </w:r>
      <w:r w:rsidRPr="00B820D3">
        <w:rPr>
          <w:rFonts w:ascii="Times New Roman" w:hAnsi="Times New Roman"/>
          <w:sz w:val="22"/>
          <w:lang w:val="en-GB"/>
        </w:rPr>
        <w:t>Qualcomm Incorporated</w:t>
      </w:r>
    </w:p>
    <w:p w14:paraId="3A7CCDE7" w14:textId="60F3E49E" w:rsidR="00B46DD7" w:rsidRPr="006568CF" w:rsidRDefault="00B46DD7" w:rsidP="00923B5A">
      <w:pPr>
        <w:pStyle w:val="afff0"/>
        <w:spacing w:after="180"/>
        <w:ind w:left="420" w:firstLineChars="0" w:firstLine="0"/>
        <w:rPr>
          <w:rFonts w:ascii="Times New Roman" w:hAnsi="Times New Roman"/>
          <w:bCs/>
          <w:iCs/>
          <w:kern w:val="0"/>
          <w:sz w:val="20"/>
          <w:szCs w:val="20"/>
          <w:lang w:val="en-GB" w:eastAsia="zh-CN"/>
        </w:rPr>
      </w:pPr>
    </w:p>
    <w:p w14:paraId="0796691A" w14:textId="77777777" w:rsidR="00B46DD7" w:rsidRPr="00B46DD7" w:rsidRDefault="00B46DD7" w:rsidP="00923B5A">
      <w:pPr>
        <w:pStyle w:val="afff0"/>
        <w:spacing w:after="180"/>
        <w:ind w:left="420" w:firstLineChars="0" w:firstLine="0"/>
        <w:rPr>
          <w:rFonts w:ascii="Times New Roman" w:hAnsi="Times New Roman"/>
          <w:b/>
          <w:bCs/>
          <w:i/>
          <w:iCs/>
          <w:kern w:val="0"/>
          <w:sz w:val="20"/>
          <w:szCs w:val="20"/>
          <w:lang w:eastAsia="zh-CN"/>
        </w:rPr>
      </w:pPr>
    </w:p>
    <w:sectPr w:rsidR="00B46DD7" w:rsidRPr="00B46DD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B209A" w14:textId="77777777" w:rsidR="00476B53" w:rsidRDefault="00476B53" w:rsidP="0052762B">
      <w:r>
        <w:separator/>
      </w:r>
    </w:p>
  </w:endnote>
  <w:endnote w:type="continuationSeparator" w:id="0">
    <w:p w14:paraId="6780D5A9" w14:textId="77777777" w:rsidR="00476B53" w:rsidRDefault="00476B5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1B14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DBFD2" w14:textId="77777777" w:rsidR="00476B53" w:rsidRDefault="00476B53" w:rsidP="0052762B">
      <w:r>
        <w:separator/>
      </w:r>
    </w:p>
  </w:footnote>
  <w:footnote w:type="continuationSeparator" w:id="0">
    <w:p w14:paraId="04B6F58D" w14:textId="77777777" w:rsidR="00476B53" w:rsidRDefault="00476B5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669E57C0"/>
    <w:lvl w:ilvl="0">
      <w:start w:val="1"/>
      <w:numFmt w:val="decimal"/>
      <w:pStyle w:val="1"/>
      <w:lvlText w:val="%1"/>
      <w:lvlJc w:val="left"/>
      <w:pPr>
        <w:tabs>
          <w:tab w:val="num" w:pos="397"/>
        </w:tabs>
        <w:ind w:left="533" w:hanging="533"/>
      </w:pPr>
      <w:rPr>
        <w:rFonts w:hint="eastAsia"/>
        <w:sz w:val="28"/>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4E1BF4"/>
    <w:multiLevelType w:val="hybridMultilevel"/>
    <w:tmpl w:val="84F66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3B56D59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A47CE5"/>
    <w:multiLevelType w:val="hybridMultilevel"/>
    <w:tmpl w:val="9ADA0BF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16F11BE"/>
    <w:multiLevelType w:val="hybridMultilevel"/>
    <w:tmpl w:val="C3844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7"/>
  </w:num>
  <w:num w:numId="3">
    <w:abstractNumId w:val="11"/>
  </w:num>
  <w:num w:numId="4">
    <w:abstractNumId w:val="14"/>
  </w:num>
  <w:num w:numId="5">
    <w:abstractNumId w:val="13"/>
  </w:num>
  <w:num w:numId="6">
    <w:abstractNumId w:val="4"/>
  </w:num>
  <w:num w:numId="7">
    <w:abstractNumId w:val="12"/>
  </w:num>
  <w:num w:numId="8">
    <w:abstractNumId w:val="16"/>
  </w:num>
  <w:num w:numId="9">
    <w:abstractNumId w:val="3"/>
  </w:num>
  <w:num w:numId="10">
    <w:abstractNumId w:val="8"/>
  </w:num>
  <w:num w:numId="11">
    <w:abstractNumId w:val="1"/>
  </w:num>
  <w:num w:numId="12">
    <w:abstractNumId w:val="1"/>
  </w:num>
  <w:num w:numId="13">
    <w:abstractNumId w:val="1"/>
  </w:num>
  <w:num w:numId="14">
    <w:abstractNumId w:val="10"/>
  </w:num>
  <w:num w:numId="15">
    <w:abstractNumId w:val="15"/>
  </w:num>
  <w:num w:numId="16">
    <w:abstractNumId w:val="1"/>
  </w:num>
  <w:num w:numId="17">
    <w:abstractNumId w:val="0"/>
  </w:num>
  <w:num w:numId="18">
    <w:abstractNumId w:val="5"/>
  </w:num>
  <w:num w:numId="19">
    <w:abstractNumId w:val="1"/>
  </w:num>
  <w:num w:numId="20">
    <w:abstractNumId w:val="1"/>
  </w:num>
  <w:num w:numId="21">
    <w:abstractNumId w:val="6"/>
  </w:num>
  <w:num w:numId="22">
    <w:abstractNumId w:val="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056"/>
    <w:rsid w:val="00026904"/>
    <w:rsid w:val="00026A59"/>
    <w:rsid w:val="00026F5D"/>
    <w:rsid w:val="0002723D"/>
    <w:rsid w:val="000279CA"/>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916"/>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D5"/>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88A"/>
    <w:rsid w:val="0008727B"/>
    <w:rsid w:val="0008742B"/>
    <w:rsid w:val="00087D25"/>
    <w:rsid w:val="0009044A"/>
    <w:rsid w:val="00090604"/>
    <w:rsid w:val="000906DD"/>
    <w:rsid w:val="00090C45"/>
    <w:rsid w:val="00092023"/>
    <w:rsid w:val="00092315"/>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487B"/>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33A"/>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70B"/>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55"/>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7DE"/>
    <w:rsid w:val="00173B5D"/>
    <w:rsid w:val="00174C11"/>
    <w:rsid w:val="00175090"/>
    <w:rsid w:val="00176AED"/>
    <w:rsid w:val="00177246"/>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377"/>
    <w:rsid w:val="001B044D"/>
    <w:rsid w:val="001B14C1"/>
    <w:rsid w:val="001B15B6"/>
    <w:rsid w:val="001B15B8"/>
    <w:rsid w:val="001B1C7B"/>
    <w:rsid w:val="001B1E2E"/>
    <w:rsid w:val="001B32FB"/>
    <w:rsid w:val="001B3703"/>
    <w:rsid w:val="001B3BC3"/>
    <w:rsid w:val="001B4001"/>
    <w:rsid w:val="001B4333"/>
    <w:rsid w:val="001B437A"/>
    <w:rsid w:val="001B4EBA"/>
    <w:rsid w:val="001B4F8C"/>
    <w:rsid w:val="001B5A5B"/>
    <w:rsid w:val="001B659B"/>
    <w:rsid w:val="001B6637"/>
    <w:rsid w:val="001B67B3"/>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5E"/>
    <w:rsid w:val="001D66ED"/>
    <w:rsid w:val="001D6D34"/>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E2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AA1"/>
    <w:rsid w:val="001F4C9A"/>
    <w:rsid w:val="001F5512"/>
    <w:rsid w:val="001F5890"/>
    <w:rsid w:val="001F5C92"/>
    <w:rsid w:val="001F5D72"/>
    <w:rsid w:val="001F626C"/>
    <w:rsid w:val="001F65E5"/>
    <w:rsid w:val="001F6F34"/>
    <w:rsid w:val="001F71E4"/>
    <w:rsid w:val="001F7526"/>
    <w:rsid w:val="001F75ED"/>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C03"/>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4F1"/>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F08"/>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B2D"/>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15"/>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1F36"/>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416"/>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51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586"/>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1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DB1"/>
    <w:rsid w:val="003C208B"/>
    <w:rsid w:val="003C2545"/>
    <w:rsid w:val="003C2608"/>
    <w:rsid w:val="003C3525"/>
    <w:rsid w:val="003C381B"/>
    <w:rsid w:val="003C3A38"/>
    <w:rsid w:val="003C5C76"/>
    <w:rsid w:val="003C6879"/>
    <w:rsid w:val="003C6E8A"/>
    <w:rsid w:val="003C710B"/>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0BBA"/>
    <w:rsid w:val="00411583"/>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5EA6"/>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54"/>
    <w:rsid w:val="004453CF"/>
    <w:rsid w:val="00445828"/>
    <w:rsid w:val="00445A5B"/>
    <w:rsid w:val="00445ABA"/>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3A1A"/>
    <w:rsid w:val="00474557"/>
    <w:rsid w:val="0047518D"/>
    <w:rsid w:val="004759A8"/>
    <w:rsid w:val="00475E71"/>
    <w:rsid w:val="0047626A"/>
    <w:rsid w:val="0047656F"/>
    <w:rsid w:val="00476B53"/>
    <w:rsid w:val="004771F2"/>
    <w:rsid w:val="0047774B"/>
    <w:rsid w:val="0047795F"/>
    <w:rsid w:val="004819D9"/>
    <w:rsid w:val="00482DD9"/>
    <w:rsid w:val="00482E2E"/>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B7E50"/>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534"/>
    <w:rsid w:val="00506658"/>
    <w:rsid w:val="0050706F"/>
    <w:rsid w:val="0051016B"/>
    <w:rsid w:val="00510B56"/>
    <w:rsid w:val="00511280"/>
    <w:rsid w:val="00511CD1"/>
    <w:rsid w:val="00512D6A"/>
    <w:rsid w:val="00513006"/>
    <w:rsid w:val="00513138"/>
    <w:rsid w:val="00513329"/>
    <w:rsid w:val="00513469"/>
    <w:rsid w:val="005135EA"/>
    <w:rsid w:val="0051380F"/>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1"/>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699"/>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1A97"/>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BE8"/>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A98"/>
    <w:rsid w:val="00592BDF"/>
    <w:rsid w:val="00593F7D"/>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6C"/>
    <w:rsid w:val="005B46B2"/>
    <w:rsid w:val="005B4DEC"/>
    <w:rsid w:val="005B622A"/>
    <w:rsid w:val="005B69B9"/>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B41"/>
    <w:rsid w:val="005C7F18"/>
    <w:rsid w:val="005D01DA"/>
    <w:rsid w:val="005D0696"/>
    <w:rsid w:val="005D0891"/>
    <w:rsid w:val="005D124A"/>
    <w:rsid w:val="005D12D6"/>
    <w:rsid w:val="005D1CF3"/>
    <w:rsid w:val="005D2B9B"/>
    <w:rsid w:val="005D3C82"/>
    <w:rsid w:val="005D56DD"/>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2DB5"/>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DF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07E3"/>
    <w:rsid w:val="00651140"/>
    <w:rsid w:val="00651465"/>
    <w:rsid w:val="00651DEC"/>
    <w:rsid w:val="00652A0C"/>
    <w:rsid w:val="00653196"/>
    <w:rsid w:val="00653279"/>
    <w:rsid w:val="006535DD"/>
    <w:rsid w:val="006550A4"/>
    <w:rsid w:val="0065515B"/>
    <w:rsid w:val="006551B4"/>
    <w:rsid w:val="00655AA9"/>
    <w:rsid w:val="00656666"/>
    <w:rsid w:val="006568CF"/>
    <w:rsid w:val="0065692A"/>
    <w:rsid w:val="00656BE2"/>
    <w:rsid w:val="00657A09"/>
    <w:rsid w:val="00657B8D"/>
    <w:rsid w:val="00657E25"/>
    <w:rsid w:val="00660409"/>
    <w:rsid w:val="00660948"/>
    <w:rsid w:val="00661EC4"/>
    <w:rsid w:val="00662717"/>
    <w:rsid w:val="00662924"/>
    <w:rsid w:val="006630AB"/>
    <w:rsid w:val="006632B0"/>
    <w:rsid w:val="00663562"/>
    <w:rsid w:val="00664234"/>
    <w:rsid w:val="00664591"/>
    <w:rsid w:val="00664901"/>
    <w:rsid w:val="00664F0E"/>
    <w:rsid w:val="00666869"/>
    <w:rsid w:val="00666A8C"/>
    <w:rsid w:val="00666F9C"/>
    <w:rsid w:val="00667547"/>
    <w:rsid w:val="006719B3"/>
    <w:rsid w:val="0067271D"/>
    <w:rsid w:val="00672918"/>
    <w:rsid w:val="00672A6A"/>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1C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8B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3B3"/>
    <w:rsid w:val="006B7742"/>
    <w:rsid w:val="006B77EA"/>
    <w:rsid w:val="006C0069"/>
    <w:rsid w:val="006C035F"/>
    <w:rsid w:val="006C13E4"/>
    <w:rsid w:val="006C146A"/>
    <w:rsid w:val="006C1704"/>
    <w:rsid w:val="006C251C"/>
    <w:rsid w:val="006C252A"/>
    <w:rsid w:val="006C2711"/>
    <w:rsid w:val="006C3804"/>
    <w:rsid w:val="006C3A3C"/>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3FB"/>
    <w:rsid w:val="006F3859"/>
    <w:rsid w:val="006F385E"/>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2DB6"/>
    <w:rsid w:val="00703165"/>
    <w:rsid w:val="0070325C"/>
    <w:rsid w:val="0070391A"/>
    <w:rsid w:val="00703C33"/>
    <w:rsid w:val="0070447D"/>
    <w:rsid w:val="00704900"/>
    <w:rsid w:val="00704BDA"/>
    <w:rsid w:val="00704DB3"/>
    <w:rsid w:val="0070533D"/>
    <w:rsid w:val="00706532"/>
    <w:rsid w:val="007070F5"/>
    <w:rsid w:val="0070747A"/>
    <w:rsid w:val="0071026E"/>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EA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41"/>
    <w:rsid w:val="00754FA9"/>
    <w:rsid w:val="00755136"/>
    <w:rsid w:val="00755668"/>
    <w:rsid w:val="0075603F"/>
    <w:rsid w:val="007560BB"/>
    <w:rsid w:val="007565B8"/>
    <w:rsid w:val="00756C7B"/>
    <w:rsid w:val="00756E3A"/>
    <w:rsid w:val="007603E3"/>
    <w:rsid w:val="007605E9"/>
    <w:rsid w:val="0076155F"/>
    <w:rsid w:val="007619AD"/>
    <w:rsid w:val="00761BA6"/>
    <w:rsid w:val="00761F36"/>
    <w:rsid w:val="00764778"/>
    <w:rsid w:val="00765421"/>
    <w:rsid w:val="0076546D"/>
    <w:rsid w:val="00765793"/>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2EA0"/>
    <w:rsid w:val="0077302C"/>
    <w:rsid w:val="0077343C"/>
    <w:rsid w:val="0077493F"/>
    <w:rsid w:val="00775554"/>
    <w:rsid w:val="00775C1B"/>
    <w:rsid w:val="0077600D"/>
    <w:rsid w:val="007762BA"/>
    <w:rsid w:val="007773C4"/>
    <w:rsid w:val="00780611"/>
    <w:rsid w:val="007810AF"/>
    <w:rsid w:val="007832CA"/>
    <w:rsid w:val="007832D7"/>
    <w:rsid w:val="00783516"/>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87EEC"/>
    <w:rsid w:val="00790E56"/>
    <w:rsid w:val="00791C6A"/>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675"/>
    <w:rsid w:val="007A380B"/>
    <w:rsid w:val="007A3A27"/>
    <w:rsid w:val="007A3ADC"/>
    <w:rsid w:val="007A3B1F"/>
    <w:rsid w:val="007A3B81"/>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AFD"/>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6B82"/>
    <w:rsid w:val="007C7CF6"/>
    <w:rsid w:val="007D011A"/>
    <w:rsid w:val="007D0422"/>
    <w:rsid w:val="007D07CB"/>
    <w:rsid w:val="007D19D0"/>
    <w:rsid w:val="007D1D08"/>
    <w:rsid w:val="007D20FC"/>
    <w:rsid w:val="007D2205"/>
    <w:rsid w:val="007D237F"/>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BD6"/>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98"/>
    <w:rsid w:val="007F0BBF"/>
    <w:rsid w:val="007F0C3A"/>
    <w:rsid w:val="007F1254"/>
    <w:rsid w:val="007F13E2"/>
    <w:rsid w:val="007F146B"/>
    <w:rsid w:val="007F1720"/>
    <w:rsid w:val="007F25CF"/>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DF2"/>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5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A85"/>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57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2F4A"/>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6817"/>
    <w:rsid w:val="008C7CC9"/>
    <w:rsid w:val="008D0A2C"/>
    <w:rsid w:val="008D0F24"/>
    <w:rsid w:val="008D169B"/>
    <w:rsid w:val="008D29C0"/>
    <w:rsid w:val="008D3CAB"/>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C3A"/>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DA0"/>
    <w:rsid w:val="00902EDF"/>
    <w:rsid w:val="009031F3"/>
    <w:rsid w:val="009033A2"/>
    <w:rsid w:val="00904F84"/>
    <w:rsid w:val="009051EF"/>
    <w:rsid w:val="00905557"/>
    <w:rsid w:val="00905C08"/>
    <w:rsid w:val="00906E43"/>
    <w:rsid w:val="00910695"/>
    <w:rsid w:val="0091110C"/>
    <w:rsid w:val="009112E8"/>
    <w:rsid w:val="00911A11"/>
    <w:rsid w:val="00911C40"/>
    <w:rsid w:val="009122D6"/>
    <w:rsid w:val="00912326"/>
    <w:rsid w:val="00913263"/>
    <w:rsid w:val="0091369A"/>
    <w:rsid w:val="00913BC7"/>
    <w:rsid w:val="009145CC"/>
    <w:rsid w:val="0091462B"/>
    <w:rsid w:val="00915129"/>
    <w:rsid w:val="0091598F"/>
    <w:rsid w:val="00915D60"/>
    <w:rsid w:val="00915F00"/>
    <w:rsid w:val="00916ED9"/>
    <w:rsid w:val="00917628"/>
    <w:rsid w:val="0091764F"/>
    <w:rsid w:val="00917CA6"/>
    <w:rsid w:val="00920014"/>
    <w:rsid w:val="0092144F"/>
    <w:rsid w:val="009218EA"/>
    <w:rsid w:val="00921DE6"/>
    <w:rsid w:val="0092342A"/>
    <w:rsid w:val="009234A6"/>
    <w:rsid w:val="00923B5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7AB"/>
    <w:rsid w:val="00956922"/>
    <w:rsid w:val="00956ED3"/>
    <w:rsid w:val="009573AB"/>
    <w:rsid w:val="00957AF5"/>
    <w:rsid w:val="00960396"/>
    <w:rsid w:val="00960510"/>
    <w:rsid w:val="00960ADF"/>
    <w:rsid w:val="00960B93"/>
    <w:rsid w:val="0096101D"/>
    <w:rsid w:val="0096112C"/>
    <w:rsid w:val="00961A6F"/>
    <w:rsid w:val="00961B38"/>
    <w:rsid w:val="009621D7"/>
    <w:rsid w:val="0096284C"/>
    <w:rsid w:val="00963662"/>
    <w:rsid w:val="00963A4D"/>
    <w:rsid w:val="00964502"/>
    <w:rsid w:val="00964817"/>
    <w:rsid w:val="00964856"/>
    <w:rsid w:val="00964DE5"/>
    <w:rsid w:val="009651F7"/>
    <w:rsid w:val="00965C51"/>
    <w:rsid w:val="009660DF"/>
    <w:rsid w:val="00966238"/>
    <w:rsid w:val="009665BE"/>
    <w:rsid w:val="00966FEE"/>
    <w:rsid w:val="00967160"/>
    <w:rsid w:val="009678E8"/>
    <w:rsid w:val="0096793E"/>
    <w:rsid w:val="00967959"/>
    <w:rsid w:val="00967963"/>
    <w:rsid w:val="00967996"/>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03D"/>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31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A7"/>
    <w:rsid w:val="009C2FED"/>
    <w:rsid w:val="009C313C"/>
    <w:rsid w:val="009C32C5"/>
    <w:rsid w:val="009C3492"/>
    <w:rsid w:val="009C3558"/>
    <w:rsid w:val="009C4755"/>
    <w:rsid w:val="009C4A88"/>
    <w:rsid w:val="009C4AF0"/>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EC2"/>
    <w:rsid w:val="009D4F0C"/>
    <w:rsid w:val="009D51F8"/>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58"/>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2F3"/>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864"/>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7C7"/>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6CE8"/>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5EA7"/>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1C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763"/>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49D"/>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2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DD7"/>
    <w:rsid w:val="00B470EF"/>
    <w:rsid w:val="00B47509"/>
    <w:rsid w:val="00B512C9"/>
    <w:rsid w:val="00B512DB"/>
    <w:rsid w:val="00B51B7A"/>
    <w:rsid w:val="00B52B91"/>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69"/>
    <w:rsid w:val="00B742D1"/>
    <w:rsid w:val="00B74E7B"/>
    <w:rsid w:val="00B7516D"/>
    <w:rsid w:val="00B7527A"/>
    <w:rsid w:val="00B76E98"/>
    <w:rsid w:val="00B771EC"/>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4AD"/>
    <w:rsid w:val="00B90000"/>
    <w:rsid w:val="00B9129A"/>
    <w:rsid w:val="00B9157B"/>
    <w:rsid w:val="00B91CFA"/>
    <w:rsid w:val="00B91DDC"/>
    <w:rsid w:val="00B924E1"/>
    <w:rsid w:val="00B925D4"/>
    <w:rsid w:val="00B927A3"/>
    <w:rsid w:val="00B92BBC"/>
    <w:rsid w:val="00B93D50"/>
    <w:rsid w:val="00B94204"/>
    <w:rsid w:val="00B9429D"/>
    <w:rsid w:val="00B94917"/>
    <w:rsid w:val="00B958D8"/>
    <w:rsid w:val="00B95E0B"/>
    <w:rsid w:val="00B96355"/>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53C"/>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9A"/>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67C"/>
    <w:rsid w:val="00C50A5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8CA"/>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3A27"/>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87EC0"/>
    <w:rsid w:val="00C90AFE"/>
    <w:rsid w:val="00C90BE8"/>
    <w:rsid w:val="00C91719"/>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3B2"/>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094"/>
    <w:rsid w:val="00CF2558"/>
    <w:rsid w:val="00CF271E"/>
    <w:rsid w:val="00CF28A3"/>
    <w:rsid w:val="00CF387C"/>
    <w:rsid w:val="00CF3ACD"/>
    <w:rsid w:val="00CF3C76"/>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4F24"/>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3F0"/>
    <w:rsid w:val="00D2499A"/>
    <w:rsid w:val="00D24BAD"/>
    <w:rsid w:val="00D25656"/>
    <w:rsid w:val="00D26A8F"/>
    <w:rsid w:val="00D26E94"/>
    <w:rsid w:val="00D27340"/>
    <w:rsid w:val="00D27426"/>
    <w:rsid w:val="00D27CE9"/>
    <w:rsid w:val="00D30182"/>
    <w:rsid w:val="00D302B5"/>
    <w:rsid w:val="00D30308"/>
    <w:rsid w:val="00D3031D"/>
    <w:rsid w:val="00D3085D"/>
    <w:rsid w:val="00D315B3"/>
    <w:rsid w:val="00D31AEA"/>
    <w:rsid w:val="00D328AB"/>
    <w:rsid w:val="00D33347"/>
    <w:rsid w:val="00D33F19"/>
    <w:rsid w:val="00D340A4"/>
    <w:rsid w:val="00D3435E"/>
    <w:rsid w:val="00D34AEE"/>
    <w:rsid w:val="00D34AF5"/>
    <w:rsid w:val="00D34BEE"/>
    <w:rsid w:val="00D34F7F"/>
    <w:rsid w:val="00D3572C"/>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F4"/>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31"/>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7A7"/>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5F23"/>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C61"/>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4B5"/>
    <w:rsid w:val="00E360E7"/>
    <w:rsid w:val="00E36478"/>
    <w:rsid w:val="00E367E2"/>
    <w:rsid w:val="00E36908"/>
    <w:rsid w:val="00E402A1"/>
    <w:rsid w:val="00E40747"/>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CD0"/>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8C"/>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8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65CD"/>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EF7B26"/>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14"/>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047"/>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D2C"/>
    <w:rsid w:val="00F77F7B"/>
    <w:rsid w:val="00F77FB4"/>
    <w:rsid w:val="00F8097A"/>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D6A"/>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597"/>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536"/>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E01A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2E2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numbere"/>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2511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14EBE-3D27-4A6C-9B38-2FEC4343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4</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Yang Yubo</cp:lastModifiedBy>
  <cp:revision>10</cp:revision>
  <cp:lastPrinted>2010-01-07T02:23:00Z</cp:lastPrinted>
  <dcterms:created xsi:type="dcterms:W3CDTF">2023-08-11T11:05:00Z</dcterms:created>
  <dcterms:modified xsi:type="dcterms:W3CDTF">2023-08-11T15:06:00Z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(3)5QAObj5fQtLVEL3ngGjWR2aLG2XFjwQyfyTgxSEu8Y6zqOZKwwPgQnLCT1Ttf+y+1PWyMmnV
gUooOdrdpRnVyViqHrKhJgskq/1oWhFXbhXu0i+80L2CdFOjpnTr61/9WLtX5njLli1Py25I
2S4xFFlpZkjN0xdZIY3XM5CE17FQRMN0pH2VU2RaGkjlzoqNC6ezL5tIyxzwdI2NVPdwvXCt
HrQXh/D+7J19SucE+a</vt:lpwstr>
  </property>
  <property fmtid="{D5CDD505-2E9C-101B-9397-08002B2CF9AE}" pid="15" name="_2015_ms_pID_725343_00">
    <vt:lpwstr>_2015_ms_pID_725343</vt:lpwstr>
  </property>
  <property fmtid="{D5CDD505-2E9C-101B-9397-08002B2CF9AE}" pid="16" name="_2015_ms_pID_7253431">
    <vt:lpwstr>k25vggoAOEVAQVqDg3xgjhqWiI2hL+K2GcCxCGnjxZqNz7wOv+G2tb
Tp8LVInEM5tE9EP+BN+Ssay/A79zgbcoE3Zfm4Z0yIjXCYULFdVy/HgjtKDrB7i/rzRA80RY
Nuiow/SuVcBMrmsPMKnU2BlVfo+njmcXf/7bj46g72uQxWYhKzw8Twu9r0NUcn+HQl50bTuE
dbZ/QBNWuWgtjoNSmc9QwzXxSEh6+bGEGHtG</vt:lpwstr>
  </property>
  <property fmtid="{D5CDD505-2E9C-101B-9397-08002B2CF9AE}" pid="17" name="_2015_ms_pID_7253431_00">
    <vt:lpwstr>_2015_ms_pID_7253431</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1689753793</vt:lpwstr>
  </property>
</Properties>
</file>