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2F62" w14:textId="77777777" w:rsidR="006231EF" w:rsidRDefault="00060D1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ListParagraph"/>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ListParagraph"/>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ListParagraph"/>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09DCF7C"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12DA34F"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X = 0.5/0.25 ms for 15/30 kHz SCS</w:t>
            </w:r>
          </w:p>
          <w:p w14:paraId="5EDEF0A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66948A7"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3DE5EC82"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8ACB3DA"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B851DFF"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37B00045"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6174584"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lastRenderedPageBreak/>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38546B2"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r>
              <w:rPr>
                <w:lang w:eastAsia="zh-CN"/>
              </w:rPr>
              <w:lastRenderedPageBreak/>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SimSun"/>
                <w:lang w:val="en-US" w:eastAsia="zh-CN"/>
              </w:rPr>
              <w:lastRenderedPageBreak/>
              <w:t xml:space="preserve">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Yu Mincho"/>
                <w:lang w:val="en-US" w:eastAsia="ja-JP"/>
              </w:rPr>
              <w:lastRenderedPageBreak/>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14:paraId="60E9AF33"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SimSun"/>
                <w:lang w:val="en-US" w:eastAsia="zh-CN"/>
              </w:rPr>
              <w:lastRenderedPageBreak/>
              <w:t>Therefore, we do not think this subbullet is valid currently. We should directly discuss whether Msg1 indication for Rel-18 eRedCap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5ACC03" w14:textId="77777777" w:rsidR="006231EF" w:rsidRDefault="006231EF">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3E9FA684"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lastRenderedPageBreak/>
              <w:t>Huawei, HiSilicon</w:t>
            </w:r>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1B4F682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15AFE796"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lastRenderedPageBreak/>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032E7F15"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r>
              <w:rPr>
                <w:rFonts w:eastAsia="Yu Mincho"/>
                <w:lang w:eastAsia="ja-JP"/>
              </w:rPr>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lastRenderedPageBreak/>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ZTE, Sanechips</w:t>
            </w:r>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lastRenderedPageBreak/>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lastRenderedPageBreak/>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4A380056"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 xml:space="preserve">Huawei, </w:t>
            </w:r>
            <w:r>
              <w:rPr>
                <w:rFonts w:eastAsia="Yu Mincho"/>
                <w:lang w:val="en-US" w:eastAsia="ja-JP"/>
              </w:rPr>
              <w:lastRenderedPageBreak/>
              <w:t>HiSilicon</w:t>
            </w:r>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lastRenderedPageBreak/>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5C08482" w14:textId="77777777" w:rsidR="006231EF" w:rsidRDefault="00060D1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15A83F7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 xml:space="preserve">It has not been discussed well how much Msg3 TDRA is affected by X=0.5/0.25 or 1/0.5ms, and hence it is premature to decide TDRA enhancement is not </w:t>
            </w:r>
            <w:r>
              <w:rPr>
                <w:rFonts w:eastAsia="Yu Mincho"/>
                <w:lang w:val="en-US" w:eastAsia="ja-JP"/>
              </w:rPr>
              <w:lastRenderedPageBreak/>
              <w:t>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lastRenderedPageBreak/>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ListParagraph"/>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ListParagraph"/>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DF4533">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hint="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hint="eastAsia"/>
                <w:lang w:val="en-US" w:eastAsia="zh-CN"/>
              </w:rPr>
            </w:pPr>
            <w:r>
              <w:rPr>
                <w:rFonts w:eastAsiaTheme="minorEastAsia"/>
                <w:lang w:val="en-US" w:eastAsia="zh-CN"/>
              </w:rPr>
              <w:t>We are also OK with adding option 4 suggested by CMCC.</w:t>
            </w:r>
          </w:p>
        </w:tc>
      </w:tr>
    </w:tbl>
    <w:p w14:paraId="79098740" w14:textId="77777777" w:rsidR="006231EF" w:rsidRPr="00230556" w:rsidRDefault="006231EF">
      <w:pPr>
        <w:tabs>
          <w:tab w:val="left" w:pos="1530"/>
        </w:tabs>
        <w:rPr>
          <w:b/>
          <w:lang w:val="en-US"/>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9E3D7B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lastRenderedPageBreak/>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lastRenderedPageBreak/>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lastRenderedPageBreak/>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DF4533">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SimSun" w:hint="eastAsia"/>
                <w:lang w:val="en-US" w:eastAsia="zh-CN"/>
              </w:rPr>
              <w:t>For 2-step RACH, the timeline relaxation should wait for the conclusion of MsgB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hint="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hint="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unicast and broadcast) and PUSCH, with </w:t>
            </w:r>
            <w:r>
              <w:rPr>
                <w:lang w:val="en-US"/>
              </w:rPr>
              <w:lastRenderedPageBreak/>
              <w:t>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12CA8678"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E9563BC"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77777777" w:rsidR="006231EF" w:rsidRDefault="00060D1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77777777"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w:t>
            </w:r>
            <w:r>
              <w:rPr>
                <w:rFonts w:eastAsiaTheme="minorEastAsia"/>
                <w:lang w:val="en-US" w:eastAsia="zh-CN"/>
              </w:rPr>
              <w:lastRenderedPageBreak/>
              <w:t xml:space="preserve">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77777777"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5F0DF3A3" w14:textId="77777777"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548A4D5" w14:textId="77777777"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77777777"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77777777"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77777777"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25BB0F75" w14:textId="77777777" w:rsidR="006231EF" w:rsidRDefault="00060D1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w:t>
            </w:r>
            <w:r>
              <w:rPr>
                <w:rFonts w:eastAsia="Calibri"/>
                <w:lang w:val="en-US" w:eastAsia="ja-JP"/>
              </w:rPr>
              <w:lastRenderedPageBreak/>
              <w:t>timing relaxation for both Rel-17 RedCap and Rel-18 eRedCap UEs is not desired, then a separate Msg1 indication for Rel-18 eRedCap UEs is needed.</w:t>
            </w:r>
            <w:r>
              <w:rPr>
                <w:rFonts w:eastAsia="Calibri"/>
                <w:lang w:val="en-US" w:eastAsia="ja-JP"/>
              </w:rPr>
              <w:br/>
            </w:r>
          </w:p>
          <w:p w14:paraId="144CD1F9" w14:textId="77777777"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2200875" w14:textId="7777777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1F169E4" w14:textId="77777777" w:rsidR="006231EF" w:rsidRDefault="006231EF">
            <w:pPr>
              <w:spacing w:after="0"/>
              <w:rPr>
                <w:rFonts w:eastAsia="Calibri"/>
                <w:lang w:val="en-US" w:eastAsia="ja-JP"/>
              </w:rPr>
            </w:pPr>
          </w:p>
          <w:p w14:paraId="25780D32" w14:textId="77777777"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lastRenderedPageBreak/>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7777777"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77777777"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77777777"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77777777" w:rsidR="006231EF" w:rsidRDefault="00060D1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AE7EAB0" w14:textId="77777777" w:rsidR="006231EF" w:rsidRDefault="00060D1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lastRenderedPageBreak/>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77777777"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77777777"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77777777"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6BC9DAF" w14:textId="77777777"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77777777"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77777777" w:rsidR="006231EF" w:rsidRDefault="00060D1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w:t>
            </w:r>
            <w:r>
              <w:rPr>
                <w:rFonts w:eastAsia="SimSun"/>
                <w:lang w:val="en-US" w:eastAsia="zh-CN"/>
              </w:rPr>
              <w:lastRenderedPageBreak/>
              <w:t>UEs may only apply to BW3/PR3+PR1 UEs.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77777777"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9CE8190" w14:textId="77777777" w:rsidR="006231EF" w:rsidRDefault="00060D12">
            <w:pPr>
              <w:jc w:val="left"/>
              <w:rPr>
                <w:rFonts w:eastAsia="Yu Mincho"/>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4805C94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21081BA3"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4F190A70"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7777777" w:rsidR="006231EF" w:rsidRDefault="00060D1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Yu Mincho"/>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7777777"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ZTE, Sanechips</w:t>
            </w:r>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1F77D8"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563C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F2AB4F8"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346D799E" w14:textId="77777777"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66DF6EF9" w14:textId="77777777"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7777777" w:rsidR="006231EF" w:rsidRDefault="00060D1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7777777"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14:paraId="10CFD650" w14:textId="77777777"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05D730A" w14:textId="77777777"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77777777"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77777777"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77777777"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w:t>
            </w:r>
            <w:r>
              <w:rPr>
                <w:rFonts w:eastAsiaTheme="minorEastAsia"/>
                <w:lang w:val="en-US" w:eastAsia="zh-CN"/>
              </w:rPr>
              <w:lastRenderedPageBreak/>
              <w:t xml:space="preserve">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ListParagraph"/>
              <w:numPr>
                <w:ilvl w:val="0"/>
                <w:numId w:val="50"/>
              </w:numPr>
              <w:jc w:val="left"/>
              <w:rPr>
                <w:rFonts w:eastAsia="Yu Mincho"/>
                <w:lang w:val="en-US"/>
              </w:rPr>
            </w:pPr>
            <w:r>
              <w:rPr>
                <w:rFonts w:eastAsia="Yu Mincho"/>
                <w:sz w:val="20"/>
                <w:szCs w:val="21"/>
                <w:lang w:val="en-US"/>
              </w:rPr>
              <w:t xml:space="preserve">At the time of the autonomous SI acquisition, unicast is decoded while it is </w:t>
            </w:r>
            <w:r>
              <w:rPr>
                <w:rFonts w:eastAsia="Yu Mincho"/>
                <w:sz w:val="20"/>
                <w:szCs w:val="21"/>
                <w:lang w:val="en-US"/>
              </w:rPr>
              <w:lastRenderedPageBreak/>
              <w:t>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 xml:space="preserve">If the gNB keep scheduling before PUCCH of the unicast PDSCH, the UE </w:t>
            </w:r>
            <w:r>
              <w:rPr>
                <w:rFonts w:hint="eastAsia"/>
                <w:lang w:val="en-US" w:eastAsia="zh-CN"/>
              </w:rPr>
              <w:lastRenderedPageBreak/>
              <w:t>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ListParagraph"/>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w:t>
            </w:r>
            <w:r>
              <w:rPr>
                <w:rFonts w:eastAsiaTheme="minorEastAsia"/>
                <w:lang w:val="en-US" w:eastAsia="zh-CN"/>
              </w:rPr>
              <w:lastRenderedPageBreak/>
              <w:t xml:space="preserve">so any additional relaxation or any prioritization is not needed. </w:t>
            </w:r>
          </w:p>
          <w:p w14:paraId="2ECB5F06" w14:textId="7777777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77777777"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lastRenderedPageBreak/>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lastRenderedPageBreak/>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16068A09" w14:textId="77777777"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ZTE, Sanechips</w:t>
            </w:r>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gNB scheduling would be serious </w:t>
            </w:r>
            <w:r>
              <w:rPr>
                <w:rFonts w:eastAsia="SimSun" w:hint="eastAsia"/>
                <w:lang w:val="en-US" w:eastAsia="zh-CN"/>
              </w:rPr>
              <w:lastRenderedPageBreak/>
              <w:t xml:space="preserve">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Yu Mincho"/>
                <w:lang w:val="en-US" w:eastAsia="ja-JP"/>
              </w:rPr>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14:paraId="7879B397"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w:t>
            </w:r>
            <w:r>
              <w:rPr>
                <w:rFonts w:eastAsiaTheme="minorEastAsia"/>
                <w:lang w:val="en-US" w:eastAsia="zh-CN"/>
              </w:rPr>
              <w:lastRenderedPageBreak/>
              <w:t>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lastRenderedPageBreak/>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ListParagraph"/>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 xml:space="preserve">For the second case, we still think “up to UE implementation” is reasonable.  In general, the UE should meet the HARQ-ACK timeline for unicast first, but if the </w:t>
            </w:r>
            <w:r>
              <w:rPr>
                <w:lang w:val="en-US" w:eastAsia="zh-CN"/>
              </w:rPr>
              <w:lastRenderedPageBreak/>
              <w:t>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Yu Mincho"/>
                <w:lang w:val="en-US" w:eastAsia="ja-JP"/>
              </w:rPr>
              <w:t>N</w:t>
            </w:r>
          </w:p>
        </w:tc>
        <w:tc>
          <w:tcPr>
            <w:tcW w:w="6688" w:type="dxa"/>
          </w:tcPr>
          <w:p w14:paraId="0B8C614E" w14:textId="77777777" w:rsidR="006231EF" w:rsidRDefault="00060D12">
            <w:pPr>
              <w:jc w:val="left"/>
              <w:rPr>
                <w:rFonts w:eastAsia="SimSun"/>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Let me copy our technical concern from gNB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Huawei, HiSilicon</w:t>
            </w:r>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During a process of P-RNTI triggered SI acquisition, </w:t>
      </w:r>
    </w:p>
    <w:p w14:paraId="1DA12925"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the following paragraph in TS 38.214 </w:t>
            </w:r>
            <w:r>
              <w:rPr>
                <w:rFonts w:ascii="Times New Roman" w:eastAsia="Microsoft YaHei UI" w:hAnsi="Times New Roman" w:cs="Times New Roman"/>
                <w:b/>
                <w:bCs/>
                <w:sz w:val="20"/>
                <w:szCs w:val="20"/>
                <w:lang w:val="en-US" w:eastAsia="zh-CN"/>
              </w:rPr>
              <w:lastRenderedPageBreak/>
              <w:t>clause 5.1 still applies:</w:t>
            </w:r>
          </w:p>
          <w:p w14:paraId="34DF2B42"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14:paraId="41CB3AF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 xml:space="preserve">4 PDSCH scheduled by C-RNTI, and we have understood the situation. By the way, since Msg4 PDSCH scheduled by C-RNTI is taken as a unicast PDSCH, once the UE blind decodes the scheduling DCI correctly, the resource allocation in it shouldn’t be </w:t>
            </w:r>
            <w:r>
              <w:rPr>
                <w:rFonts w:eastAsiaTheme="minorEastAsia"/>
                <w:lang w:val="en-US" w:eastAsia="zh-CN"/>
              </w:rPr>
              <w:lastRenderedPageBreak/>
              <w:t>more than 25/12 PRBs. So, We suggest to add the following note to the agreement on Msg4 PDSCH bandwidth for further clarification.</w:t>
            </w:r>
          </w:p>
          <w:tbl>
            <w:tblPr>
              <w:tblStyle w:val="TableGrid"/>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ListParagraph"/>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ListParagraph"/>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hint="eastAsia"/>
                <w:lang w:val="en-US" w:eastAsia="zh-CN"/>
              </w:rPr>
            </w:pPr>
            <w:r>
              <w:rPr>
                <w:rFonts w:eastAsiaTheme="minorEastAsia"/>
                <w:lang w:val="en-US" w:eastAsia="zh-CN"/>
              </w:rPr>
              <w:lastRenderedPageBreak/>
              <w:t>Qualcomm</w:t>
            </w:r>
          </w:p>
        </w:tc>
        <w:tc>
          <w:tcPr>
            <w:tcW w:w="1464" w:type="dxa"/>
          </w:tcPr>
          <w:p w14:paraId="2639AA18" w14:textId="6D66D3CF" w:rsidR="009B79F9" w:rsidRDefault="009767AD" w:rsidP="00970B97">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Option 3: The prioritization between reception of unicast and SI PDSCH triggered by P-RNTI is up to the UE implementation.</w:t>
            </w:r>
          </w:p>
          <w:p w14:paraId="17DBD366"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lastRenderedPageBreak/>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6" w:name="_Hlk132917104"/>
            <w:r>
              <w:rPr>
                <w:lang w:val="en-US"/>
              </w:rPr>
              <w:t>Confirm the following working assumption by assuming that Msg3 indication is available:</w:t>
            </w:r>
          </w:p>
          <w:p w14:paraId="3D4C4FB9"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w:t>
            </w:r>
            <w:r>
              <w:rPr>
                <w:rFonts w:eastAsiaTheme="minorEastAsia"/>
                <w:lang w:val="en-US" w:eastAsia="zh-CN"/>
              </w:rPr>
              <w:lastRenderedPageBreak/>
              <w:t xml:space="preserve">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25pt" o:ole="">
                  <v:imagedata r:id="rId18" o:title=""/>
                </v:shape>
                <o:OLEObject Type="Embed" ProgID="Visio.Drawing.15" ShapeID="_x0000_i1025" DrawAspect="Content" ObjectID="_1743966163"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4325112"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75pt;height:90.25pt" o:ole="">
                  <v:imagedata r:id="rId18" o:title=""/>
                </v:shape>
                <o:OLEObject Type="Embed" ProgID="Visio.Drawing.15" ShapeID="_x0000_i1026" DrawAspect="Content" ObjectID="_1743966164"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lastRenderedPageBreak/>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Heading3"/>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ra-ContentionResolutionTimer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ra-ContentionResolutionTimer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 xml:space="preserve">We support the proposal. If RAN1 spec changes is not desired, LS can be sent to </w:t>
            </w:r>
            <w:r>
              <w:rPr>
                <w:lang w:eastAsia="zh-CN"/>
              </w:rPr>
              <w:lastRenderedPageBreak/>
              <w:t>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lastRenderedPageBreak/>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1E1334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ListParagraph"/>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ListParagraph"/>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lastRenderedPageBreak/>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ListParagraph"/>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ListParagraph"/>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hint="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7777777"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 xml:space="preserve">This can be up to gNB implementation based on current agreement </w:t>
            </w:r>
            <w:r>
              <w:rPr>
                <w:rFonts w:eastAsiaTheme="minorEastAsia"/>
                <w:lang w:val="en-US" w:eastAsia="zh-CN"/>
              </w:rPr>
              <w:lastRenderedPageBreak/>
              <w:t>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lastRenderedPageBreak/>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ListParagraph"/>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77777777"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77777777"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w:t>
            </w:r>
            <w:r>
              <w:rPr>
                <w:rFonts w:eastAsiaTheme="minorEastAsia" w:hint="eastAsia"/>
                <w:lang w:val="en-US" w:eastAsia="zh-CN"/>
              </w:rPr>
              <w:lastRenderedPageBreak/>
              <w:t>Rel-18 RedCap UEs.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7777777"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77777777" w:rsidR="006231EF" w:rsidRDefault="00060D12">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So we think it should </w:t>
            </w:r>
            <w:r>
              <w:rPr>
                <w:rFonts w:eastAsia="Yu Mincho"/>
                <w:lang w:val="en-US" w:eastAsia="ja-JP"/>
              </w:rPr>
              <w:lastRenderedPageBreak/>
              <w:t>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77777777"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77777777"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77777777"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w:t>
            </w:r>
            <w:r>
              <w:rPr>
                <w:rFonts w:eastAsiaTheme="minorEastAsia"/>
                <w:lang w:val="en-US" w:eastAsia="zh-CN"/>
              </w:rPr>
              <w:lastRenderedPageBreak/>
              <w:t xml:space="preserve">(by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7777777"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77777777"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77777777"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ListParagraph"/>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Heading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t>
            </w:r>
            <w:r>
              <w:rPr>
                <w:rFonts w:eastAsiaTheme="minorEastAsia"/>
                <w:lang w:val="en-US" w:eastAsia="zh-CN"/>
              </w:rPr>
              <w:lastRenderedPageBreak/>
              <w:t xml:space="preserve">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92CCA5C"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65BE2A4"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Interpretation 2 leads to the market fragmentation that is required to be avoided to really achieve reduction in device “complexity”, so we object to </w:t>
            </w:r>
            <w:r>
              <w:rPr>
                <w:rFonts w:ascii="Times New Roman" w:eastAsia="Yu Mincho" w:hAnsi="Times New Roman" w:cs="Times New Roman"/>
                <w:sz w:val="20"/>
                <w:szCs w:val="20"/>
                <w:lang w:val="en-US"/>
              </w:rPr>
              <w:lastRenderedPageBreak/>
              <w:t>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lastRenderedPageBreak/>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77777777"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w:t>
            </w:r>
            <w:r>
              <w:rPr>
                <w:rFonts w:eastAsiaTheme="minorEastAsia"/>
                <w:lang w:val="en-US" w:eastAsia="zh-CN"/>
              </w:rPr>
              <w:lastRenderedPageBreak/>
              <w:t xml:space="preserve">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77777777"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7777777" w:rsidR="006231EF" w:rsidRDefault="00060D1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48FDACA" w14:textId="77777777"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77777777" w:rsidR="006231EF" w:rsidRDefault="00060D1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77777777" w:rsidR="006231EF" w:rsidRDefault="00060D12">
      <w:pPr>
        <w:jc w:val="left"/>
        <w:rPr>
          <w:b/>
          <w:lang w:val="en-US"/>
        </w:rPr>
      </w:pPr>
      <w:r>
        <w:rPr>
          <w:b/>
          <w:lang w:val="en-US"/>
        </w:rPr>
        <w:t>For UEs supporting UE BB bandwidth reduction or UE peak data rate reduction,</w:t>
      </w:r>
    </w:p>
    <w:p w14:paraId="3819FDF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UE can optionally support the following features:</w:t>
      </w:r>
    </w:p>
    <w:p w14:paraId="58309E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77777777"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77777777"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lastRenderedPageBreak/>
              <w:t>We can also accept MTK’s views for only one value (i.e., 10Mbps), or we can define an upper bound for R18 RedCap.</w:t>
            </w:r>
          </w:p>
          <w:p w14:paraId="26032D3F"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3A1ADD71" w14:textId="77777777"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3AE11BE" w14:textId="77777777" w:rsidR="006231EF" w:rsidRDefault="00060D1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77777777"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5D45191B" w14:textId="77777777" w:rsidR="006231EF" w:rsidRDefault="00060D12">
            <w:pPr>
              <w:pStyle w:val="ListParagraph"/>
              <w:numPr>
                <w:ilvl w:val="0"/>
                <w:numId w:val="50"/>
              </w:numPr>
              <w:jc w:val="left"/>
              <w:rPr>
                <w:rFonts w:eastAsia="Yu Mincho"/>
                <w:bCs/>
                <w:sz w:val="20"/>
                <w:szCs w:val="20"/>
                <w:lang w:val="en-US"/>
              </w:rPr>
            </w:pPr>
            <w:r>
              <w:rPr>
                <w:rFonts w:eastAsia="Yu Mincho"/>
                <w:sz w:val="20"/>
                <w:szCs w:val="20"/>
                <w:lang w:val="en-US"/>
              </w:rPr>
              <w:lastRenderedPageBreak/>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w:t>
            </w:r>
            <w:r>
              <w:rPr>
                <w:rFonts w:eastAsiaTheme="minorEastAsia"/>
                <w:lang w:val="en-US" w:eastAsia="zh-CN"/>
              </w:rPr>
              <w:lastRenderedPageBreak/>
              <w:t>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lastRenderedPageBreak/>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lastRenderedPageBreak/>
              <w:t>In addition, we have a small suggestion for update;</w:t>
            </w:r>
          </w:p>
          <w:p w14:paraId="1D92548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lastRenderedPageBreak/>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7777777"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77777777"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lastRenderedPageBreak/>
              <w:t xml:space="preserve">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256QAM transmission </w:t>
            </w:r>
            <w:r>
              <w:rPr>
                <w:rFonts w:ascii="Times New Roman" w:hAnsi="Times New Roman" w:cs="Times New Roman"/>
                <w:b/>
                <w:sz w:val="20"/>
                <w:szCs w:val="20"/>
                <w:lang w:val="en-US"/>
              </w:rPr>
              <w:lastRenderedPageBreak/>
              <w:t>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lastRenderedPageBreak/>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77777777"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77777777" w:rsidR="006231EF" w:rsidRDefault="00060D1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6EFF1E5" w14:textId="77777777"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 xml:space="preserve">We also understand this proposal is only for setting the 10 Mbps data rate. </w:t>
            </w:r>
            <w:r>
              <w:rPr>
                <w:rFonts w:eastAsia="Yu Mincho"/>
                <w:lang w:eastAsia="ja-JP"/>
              </w:rPr>
              <w:lastRenderedPageBreak/>
              <w:t>However, the proposal might lead to mis-understanding that we now have “=” 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w:t>
            </w:r>
            <w:r>
              <w:rPr>
                <w:lang w:eastAsia="zh-CN"/>
              </w:rPr>
              <w:lastRenderedPageBreak/>
              <w:t xml:space="preserve">to discuss the upper bound. We think Spectrum’s proposal below can be a starting point </w:t>
            </w:r>
          </w:p>
          <w:p w14:paraId="48BA34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77777777"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ListParagraph"/>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w:t>
            </w:r>
            <w:r>
              <w:rPr>
                <w:rFonts w:eastAsiaTheme="minorEastAsia" w:hint="eastAsia"/>
                <w:lang w:val="en-US" w:eastAsia="zh-CN"/>
              </w:rPr>
              <w:lastRenderedPageBreak/>
              <w:t>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lastRenderedPageBreak/>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77777777"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lastRenderedPageBreak/>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42B45A95"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lastRenderedPageBreak/>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77777777" w:rsidR="006231EF" w:rsidRDefault="00060D1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4179C27D" w14:textId="77777777" w:rsidR="006231EF" w:rsidRDefault="00060D1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w:t>
            </w:r>
            <w:r>
              <w:rPr>
                <w:rFonts w:eastAsiaTheme="minorEastAsia" w:hint="eastAsia"/>
                <w:lang w:eastAsia="zh-CN"/>
              </w:rPr>
              <w:lastRenderedPageBreak/>
              <w:t>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TableGrid"/>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 xml:space="preserve">If RAN1 does not reach to an agreement/conclusion on </w:t>
            </w:r>
            <w:r>
              <w:rPr>
                <w:rFonts w:eastAsia="Yu Mincho"/>
                <w:lang w:val="en-US" w:eastAsia="ja-JP"/>
              </w:rPr>
              <w:lastRenderedPageBreak/>
              <w:t>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lastRenderedPageBreak/>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DF4533">
            <w:pPr>
              <w:tabs>
                <w:tab w:val="left" w:pos="551"/>
              </w:tabs>
              <w:jc w:val="left"/>
              <w:rPr>
                <w:rFonts w:eastAsia="Yu Mincho"/>
                <w:lang w:val="en-US" w:eastAsia="ja-JP"/>
              </w:rPr>
            </w:pPr>
          </w:p>
        </w:tc>
        <w:tc>
          <w:tcPr>
            <w:tcW w:w="5227" w:type="dxa"/>
          </w:tcPr>
          <w:p w14:paraId="21A80EB3" w14:textId="77777777"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ListParagraph"/>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75C86E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14EAD49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hint="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hint="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w:t>
            </w:r>
            <w:r>
              <w:rPr>
                <w:rFonts w:eastAsia="Yu Mincho"/>
                <w:lang w:val="en-US" w:eastAsia="ja-JP"/>
              </w:rPr>
              <w:t xml:space="preserve">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w:t>
            </w:r>
            <w:r>
              <w:rPr>
                <w:rFonts w:eastAsia="Yu Mincho"/>
                <w:lang w:val="en-US" w:eastAsia="ja-JP"/>
              </w:rPr>
              <w:t xml:space="preserve">sking guidance </w:t>
            </w:r>
            <w:r>
              <w:rPr>
                <w:rFonts w:eastAsia="Yu Mincho"/>
                <w:lang w:val="en-US" w:eastAsia="ja-JP"/>
              </w:rPr>
              <w:t xml:space="preserve">from RAN plenary </w:t>
            </w:r>
            <w:r>
              <w:rPr>
                <w:rFonts w:eastAsia="Yu Mincho"/>
                <w:lang w:val="en-US" w:eastAsia="ja-JP"/>
              </w:rPr>
              <w:t>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ListParagraph"/>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bl>
    <w:p w14:paraId="306FAC80" w14:textId="77777777" w:rsidR="006231EF" w:rsidRPr="00060D12" w:rsidRDefault="006231EF">
      <w:pPr>
        <w:rPr>
          <w:rFonts w:eastAsia="Microsoft YaHei UI"/>
          <w:szCs w:val="22"/>
          <w:lang w:val="en-US"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ListParagraph"/>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w:t>
            </w:r>
            <w:r>
              <w:rPr>
                <w:rFonts w:eastAsia="Calibri"/>
                <w:lang w:val="en-US"/>
              </w:rPr>
              <w:lastRenderedPageBreak/>
              <w:t>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ListParagraph"/>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lastRenderedPageBreak/>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Heading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ListParagraph"/>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ListParagraph"/>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ListParagraph"/>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ListParagraph"/>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ListParagraph"/>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ListParagraph"/>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ListParagraph"/>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ListParagraph"/>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ListParagraph"/>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lastRenderedPageBreak/>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8"/>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232F42">
            <w:pPr>
              <w:jc w:val="left"/>
              <w:rPr>
                <w:color w:val="0000FF"/>
                <w:u w:val="single"/>
                <w:lang w:val="en-US"/>
              </w:rPr>
            </w:pPr>
            <w:hyperlink r:id="rId24" w:history="1">
              <w:r w:rsidR="00060D12">
                <w:rPr>
                  <w:rStyle w:val="Hyperlink"/>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232F42">
            <w:pPr>
              <w:jc w:val="left"/>
              <w:rPr>
                <w:rFonts w:eastAsia="Calibri"/>
                <w:color w:val="0000FF"/>
                <w:u w:val="single"/>
                <w:lang w:val="en-US"/>
              </w:rPr>
            </w:pPr>
            <w:hyperlink r:id="rId25" w:history="1">
              <w:r w:rsidR="00060D12">
                <w:rPr>
                  <w:rStyle w:val="Hyperlink"/>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232F42">
            <w:pPr>
              <w:jc w:val="left"/>
              <w:rPr>
                <w:rStyle w:val="Hyperlink"/>
                <w:color w:val="0000FF"/>
              </w:rPr>
            </w:pPr>
            <w:hyperlink r:id="rId26" w:history="1">
              <w:r w:rsidR="00060D12">
                <w:rPr>
                  <w:rStyle w:val="Hyperlink"/>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 xml:space="preserve">FL summary #1 on Rel-18 RedCap UE complexity </w:t>
            </w:r>
            <w:r>
              <w:lastRenderedPageBreak/>
              <w:t>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lastRenderedPageBreak/>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232F42">
            <w:pPr>
              <w:jc w:val="left"/>
              <w:rPr>
                <w:rStyle w:val="Hyperlink"/>
                <w:color w:val="0000FF"/>
              </w:rPr>
            </w:pPr>
            <w:hyperlink r:id="rId27" w:history="1">
              <w:r w:rsidR="00060D12">
                <w:rPr>
                  <w:rStyle w:val="Hyperlink"/>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232F42">
            <w:pPr>
              <w:jc w:val="left"/>
              <w:rPr>
                <w:rStyle w:val="Hyperlink"/>
                <w:color w:val="0000FF"/>
              </w:rPr>
            </w:pPr>
            <w:hyperlink r:id="rId28" w:history="1">
              <w:r w:rsidR="00060D12">
                <w:rPr>
                  <w:rStyle w:val="Hyperlink"/>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232F42">
            <w:pPr>
              <w:jc w:val="left"/>
              <w:rPr>
                <w:rStyle w:val="Hyperlink"/>
                <w:color w:val="0000FF"/>
              </w:rPr>
            </w:pPr>
            <w:hyperlink r:id="rId29" w:history="1">
              <w:r w:rsidR="00060D12">
                <w:rPr>
                  <w:rStyle w:val="Hyperlink"/>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232F42">
            <w:pPr>
              <w:jc w:val="left"/>
              <w:rPr>
                <w:rStyle w:val="Hyperlink"/>
                <w:color w:val="0000FF"/>
                <w:lang w:val="en-US" w:eastAsia="sv-SE"/>
              </w:rPr>
            </w:pPr>
            <w:hyperlink r:id="rId30" w:history="1">
              <w:r w:rsidR="00060D12">
                <w:rPr>
                  <w:rStyle w:val="Hyperlink"/>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232F42">
            <w:pPr>
              <w:jc w:val="left"/>
              <w:rPr>
                <w:rStyle w:val="Hyperlink"/>
                <w:color w:val="0000FF"/>
                <w:lang w:val="en-US" w:eastAsia="sv-SE"/>
              </w:rPr>
            </w:pPr>
            <w:hyperlink r:id="rId31" w:history="1">
              <w:r w:rsidR="00060D12">
                <w:rPr>
                  <w:rStyle w:val="Hyperlink"/>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232F42">
            <w:pPr>
              <w:jc w:val="left"/>
              <w:rPr>
                <w:rStyle w:val="Hyperlink"/>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232F42">
            <w:pPr>
              <w:jc w:val="left"/>
              <w:rPr>
                <w:rStyle w:val="Hyperlink"/>
                <w:color w:val="0000FF"/>
                <w:lang w:val="en-US" w:eastAsia="sv-SE"/>
              </w:rPr>
            </w:pPr>
            <w:hyperlink r:id="rId33" w:history="1">
              <w:r w:rsidR="00060D12">
                <w:rPr>
                  <w:rStyle w:val="Hyperlink"/>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232F42">
            <w:pPr>
              <w:jc w:val="left"/>
              <w:rPr>
                <w:rStyle w:val="Hyperlink"/>
                <w:color w:val="0000FF"/>
                <w:lang w:val="en-US" w:eastAsia="sv-SE"/>
              </w:rPr>
            </w:pPr>
            <w:hyperlink r:id="rId34" w:history="1">
              <w:r w:rsidR="00060D12">
                <w:rPr>
                  <w:rStyle w:val="Hyperlink"/>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232F42">
            <w:pPr>
              <w:jc w:val="left"/>
              <w:rPr>
                <w:rStyle w:val="Hyperlink"/>
                <w:color w:val="0000FF"/>
                <w:lang w:val="en-US" w:eastAsia="sv-SE"/>
              </w:rPr>
            </w:pPr>
            <w:hyperlink r:id="rId35" w:history="1">
              <w:r w:rsidR="00060D12">
                <w:rPr>
                  <w:rStyle w:val="Hyperlink"/>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232F42">
            <w:pPr>
              <w:jc w:val="left"/>
              <w:rPr>
                <w:rStyle w:val="Hyperlink"/>
                <w:color w:val="0000FF"/>
                <w:lang w:val="en-US" w:eastAsia="sv-SE"/>
              </w:rPr>
            </w:pPr>
            <w:hyperlink r:id="rId36" w:history="1">
              <w:r w:rsidR="00060D12">
                <w:rPr>
                  <w:rStyle w:val="Hyperlink"/>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232F42">
            <w:pPr>
              <w:jc w:val="left"/>
              <w:rPr>
                <w:rStyle w:val="Hyperlink"/>
                <w:color w:val="0000FF"/>
                <w:lang w:val="en-US" w:eastAsia="sv-SE"/>
              </w:rPr>
            </w:pPr>
            <w:hyperlink r:id="rId37" w:history="1">
              <w:r w:rsidR="00060D12">
                <w:rPr>
                  <w:rStyle w:val="Hyperlink"/>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232F42">
            <w:pPr>
              <w:jc w:val="left"/>
              <w:rPr>
                <w:rStyle w:val="Hyperlink"/>
                <w:color w:val="0000FF"/>
                <w:lang w:val="en-US" w:eastAsia="sv-SE"/>
              </w:rPr>
            </w:pPr>
            <w:hyperlink r:id="rId38" w:history="1">
              <w:r w:rsidR="00060D12">
                <w:rPr>
                  <w:rStyle w:val="Hyperlink"/>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232F42">
            <w:pPr>
              <w:jc w:val="left"/>
              <w:rPr>
                <w:rStyle w:val="Hyperlink"/>
                <w:color w:val="0000FF"/>
                <w:lang w:val="en-US" w:eastAsia="sv-SE"/>
              </w:rPr>
            </w:pPr>
            <w:hyperlink r:id="rId39" w:history="1">
              <w:r w:rsidR="00060D12">
                <w:rPr>
                  <w:rStyle w:val="Hyperlink"/>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232F42">
            <w:pPr>
              <w:jc w:val="left"/>
              <w:rPr>
                <w:rStyle w:val="Hyperlink"/>
                <w:color w:val="0000FF"/>
                <w:lang w:val="en-US" w:eastAsia="sv-SE"/>
              </w:rPr>
            </w:pPr>
            <w:hyperlink r:id="rId40" w:history="1">
              <w:r w:rsidR="00060D12">
                <w:rPr>
                  <w:rStyle w:val="Hyperlink"/>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232F42">
            <w:pPr>
              <w:jc w:val="left"/>
              <w:rPr>
                <w:rStyle w:val="Hyperlink"/>
                <w:color w:val="0000FF"/>
                <w:lang w:val="en-US" w:eastAsia="sv-SE"/>
              </w:rPr>
            </w:pPr>
            <w:hyperlink r:id="rId41" w:history="1">
              <w:r w:rsidR="00060D12">
                <w:rPr>
                  <w:rStyle w:val="Hyperlink"/>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232F42">
            <w:pPr>
              <w:jc w:val="left"/>
              <w:rPr>
                <w:rStyle w:val="Hyperlink"/>
                <w:color w:val="0000FF"/>
                <w:lang w:val="en-US" w:eastAsia="sv-SE"/>
              </w:rPr>
            </w:pPr>
            <w:hyperlink r:id="rId42" w:history="1">
              <w:r w:rsidR="00060D12">
                <w:rPr>
                  <w:rStyle w:val="Hyperlink"/>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232F42">
            <w:pPr>
              <w:jc w:val="left"/>
              <w:rPr>
                <w:rStyle w:val="Hyperlink"/>
                <w:color w:val="0000FF"/>
                <w:lang w:val="en-US" w:eastAsia="sv-SE"/>
              </w:rPr>
            </w:pPr>
            <w:hyperlink r:id="rId43" w:history="1">
              <w:r w:rsidR="00060D12">
                <w:rPr>
                  <w:rStyle w:val="Hyperlink"/>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232F42">
            <w:pPr>
              <w:jc w:val="left"/>
              <w:rPr>
                <w:rStyle w:val="Hyperlink"/>
                <w:color w:val="0000FF"/>
                <w:lang w:val="en-US" w:eastAsia="sv-SE"/>
              </w:rPr>
            </w:pPr>
            <w:hyperlink r:id="rId44" w:history="1">
              <w:r w:rsidR="00060D12">
                <w:rPr>
                  <w:rStyle w:val="Hyperlink"/>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232F42">
            <w:pPr>
              <w:jc w:val="left"/>
              <w:rPr>
                <w:rStyle w:val="Hyperlink"/>
                <w:color w:val="0000FF"/>
                <w:lang w:val="en-US" w:eastAsia="sv-SE"/>
              </w:rPr>
            </w:pPr>
            <w:hyperlink r:id="rId45" w:history="1">
              <w:r w:rsidR="00060D12">
                <w:rPr>
                  <w:rStyle w:val="Hyperlink"/>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232F42">
            <w:pPr>
              <w:jc w:val="left"/>
              <w:rPr>
                <w:rStyle w:val="Hyperlink"/>
                <w:color w:val="0000FF"/>
                <w:lang w:val="en-US" w:eastAsia="sv-SE"/>
              </w:rPr>
            </w:pPr>
            <w:hyperlink r:id="rId46" w:history="1">
              <w:r w:rsidR="00060D12">
                <w:rPr>
                  <w:rStyle w:val="Hyperlink"/>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232F42">
            <w:pPr>
              <w:jc w:val="left"/>
              <w:rPr>
                <w:rStyle w:val="Hyperlink"/>
                <w:color w:val="0000FF"/>
                <w:lang w:val="en-US" w:eastAsia="sv-SE"/>
              </w:rPr>
            </w:pPr>
            <w:hyperlink r:id="rId47" w:history="1">
              <w:r w:rsidR="00060D12">
                <w:rPr>
                  <w:rStyle w:val="Hyperlink"/>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232F42">
            <w:pPr>
              <w:jc w:val="left"/>
              <w:rPr>
                <w:rStyle w:val="Hyperlink"/>
                <w:color w:val="0000FF"/>
                <w:lang w:val="en-US" w:eastAsia="sv-SE"/>
              </w:rPr>
            </w:pPr>
            <w:hyperlink r:id="rId48" w:history="1">
              <w:r w:rsidR="00060D12">
                <w:rPr>
                  <w:rStyle w:val="Hyperlink"/>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232F42">
            <w:pPr>
              <w:jc w:val="left"/>
              <w:rPr>
                <w:rStyle w:val="Hyperlink"/>
                <w:color w:val="0000FF"/>
                <w:lang w:val="en-US" w:eastAsia="sv-SE"/>
              </w:rPr>
            </w:pPr>
            <w:hyperlink r:id="rId49" w:history="1">
              <w:r w:rsidR="00060D12">
                <w:rPr>
                  <w:rStyle w:val="Hyperlink"/>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232F42">
            <w:pPr>
              <w:jc w:val="left"/>
              <w:rPr>
                <w:rStyle w:val="Hyperlink"/>
                <w:color w:val="0000FF"/>
                <w:lang w:val="en-US" w:eastAsia="sv-SE"/>
              </w:rPr>
            </w:pPr>
            <w:hyperlink r:id="rId50" w:history="1">
              <w:r w:rsidR="00060D12">
                <w:rPr>
                  <w:rStyle w:val="Hyperlink"/>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232F42">
            <w:pPr>
              <w:jc w:val="left"/>
              <w:rPr>
                <w:rStyle w:val="Hyperlink"/>
                <w:color w:val="0000FF"/>
                <w:lang w:val="en-US" w:eastAsia="sv-SE"/>
              </w:rPr>
            </w:pPr>
            <w:hyperlink r:id="rId51" w:history="1">
              <w:r w:rsidR="00060D12">
                <w:rPr>
                  <w:rStyle w:val="Hyperlink"/>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232F42">
            <w:pPr>
              <w:jc w:val="left"/>
              <w:rPr>
                <w:rStyle w:val="Hyperlink"/>
                <w:color w:val="0000FF"/>
                <w:lang w:val="en-US" w:eastAsia="sv-SE"/>
              </w:rPr>
            </w:pPr>
            <w:hyperlink r:id="rId52" w:history="1">
              <w:r w:rsidR="00060D12">
                <w:rPr>
                  <w:rStyle w:val="Hyperlink"/>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4A89001B" w14:textId="77777777" w:rsidR="006231EF" w:rsidRDefault="00232F42">
            <w:pPr>
              <w:jc w:val="left"/>
              <w:rPr>
                <w:rStyle w:val="Hyperlink"/>
                <w:color w:val="0000FF"/>
                <w:lang w:val="en-US" w:eastAsia="sv-SE"/>
              </w:rPr>
            </w:pPr>
            <w:hyperlink r:id="rId53" w:history="1">
              <w:r w:rsidR="00060D12">
                <w:rPr>
                  <w:rStyle w:val="Hyperlink"/>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232F42">
            <w:pPr>
              <w:jc w:val="left"/>
              <w:rPr>
                <w:rStyle w:val="Hyperlink"/>
                <w:color w:val="0000FF"/>
                <w:lang w:val="en-US" w:eastAsia="sv-SE"/>
              </w:rPr>
            </w:pPr>
            <w:hyperlink r:id="rId55" w:history="1">
              <w:r w:rsidR="00060D12">
                <w:rPr>
                  <w:rStyle w:val="Hyperlink"/>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232F42">
            <w:pPr>
              <w:jc w:val="left"/>
              <w:rPr>
                <w:rStyle w:val="Hyperlink"/>
                <w:color w:val="0000FF"/>
                <w:lang w:val="en-US" w:eastAsia="sv-SE"/>
              </w:rPr>
            </w:pPr>
            <w:hyperlink r:id="rId56" w:history="1">
              <w:r w:rsidR="00060D12">
                <w:rPr>
                  <w:rStyle w:val="Hyperlink"/>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232F42">
            <w:pPr>
              <w:jc w:val="left"/>
              <w:rPr>
                <w:color w:val="000000"/>
                <w:lang w:val="en-US"/>
              </w:rPr>
            </w:pPr>
            <w:hyperlink r:id="rId57" w:history="1">
              <w:r w:rsidR="00060D12">
                <w:rPr>
                  <w:rStyle w:val="Hyperlink"/>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232F42">
            <w:pPr>
              <w:jc w:val="left"/>
              <w:rPr>
                <w:color w:val="000000"/>
                <w:lang w:val="en-US"/>
              </w:rPr>
            </w:pPr>
            <w:hyperlink r:id="rId58" w:history="1">
              <w:r w:rsidR="00060D12">
                <w:rPr>
                  <w:rStyle w:val="Hyperlink"/>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232F42">
            <w:pPr>
              <w:jc w:val="left"/>
              <w:rPr>
                <w:rStyle w:val="Hyperlink"/>
                <w:color w:val="0000FF"/>
              </w:rPr>
            </w:pPr>
            <w:hyperlink r:id="rId59" w:history="1">
              <w:r w:rsidR="00060D12">
                <w:rPr>
                  <w:rStyle w:val="Hyperlink"/>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232F42">
            <w:pPr>
              <w:jc w:val="left"/>
            </w:pPr>
            <w:hyperlink r:id="rId60" w:history="1">
              <w:r w:rsidR="00060D12">
                <w:rPr>
                  <w:rStyle w:val="Hyperlink"/>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232F42">
            <w:pPr>
              <w:jc w:val="left"/>
            </w:pPr>
            <w:hyperlink r:id="rId62" w:history="1">
              <w:r w:rsidR="00060D12">
                <w:rPr>
                  <w:rStyle w:val="Hyperlink"/>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232F42">
            <w:pPr>
              <w:jc w:val="left"/>
            </w:pPr>
            <w:hyperlink r:id="rId64" w:history="1">
              <w:r w:rsidR="00060D12">
                <w:rPr>
                  <w:rStyle w:val="Hyperlink"/>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232F42">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232F42">
            <w:pPr>
              <w:jc w:val="left"/>
            </w:pPr>
            <w:hyperlink r:id="rId67" w:history="1">
              <w:r w:rsidR="00060D12">
                <w:rPr>
                  <w:rStyle w:val="Hyperlink"/>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232F42">
            <w:pPr>
              <w:jc w:val="left"/>
            </w:pPr>
            <w:hyperlink r:id="rId68" w:history="1">
              <w:r w:rsidR="00060D12">
                <w:rPr>
                  <w:rStyle w:val="Hyperlink"/>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232F42">
            <w:pPr>
              <w:jc w:val="left"/>
            </w:pPr>
            <w:hyperlink r:id="rId69" w:history="1">
              <w:r w:rsidR="00060D12">
                <w:rPr>
                  <w:rStyle w:val="Hyperlink"/>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1750" w14:textId="77777777" w:rsidR="00A55788" w:rsidRDefault="00A55788">
      <w:pPr>
        <w:spacing w:line="240" w:lineRule="auto"/>
      </w:pPr>
      <w:r>
        <w:separator/>
      </w:r>
    </w:p>
  </w:endnote>
  <w:endnote w:type="continuationSeparator" w:id="0">
    <w:p w14:paraId="1C2D1FC5" w14:textId="77777777" w:rsidR="00A55788" w:rsidRDefault="00A55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9BC2" w14:textId="77777777" w:rsidR="00A55788" w:rsidRDefault="00A55788">
      <w:pPr>
        <w:spacing w:after="0" w:line="240" w:lineRule="auto"/>
      </w:pPr>
      <w:r>
        <w:separator/>
      </w:r>
    </w:p>
  </w:footnote>
  <w:footnote w:type="continuationSeparator" w:id="0">
    <w:p w14:paraId="4FFC1DA5" w14:textId="77777777" w:rsidR="00A55788" w:rsidRDefault="00A5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62841270">
    <w:abstractNumId w:val="21"/>
  </w:num>
  <w:num w:numId="2" w16cid:durableId="1858229027">
    <w:abstractNumId w:val="3"/>
  </w:num>
  <w:num w:numId="3" w16cid:durableId="772088900">
    <w:abstractNumId w:val="2"/>
  </w:num>
  <w:num w:numId="4" w16cid:durableId="1268535968">
    <w:abstractNumId w:val="26"/>
  </w:num>
  <w:num w:numId="5" w16cid:durableId="620066597">
    <w:abstractNumId w:val="34"/>
    <w:lvlOverride w:ilvl="0">
      <w:startOverride w:val="1"/>
    </w:lvlOverride>
  </w:num>
  <w:num w:numId="6" w16cid:durableId="189731496">
    <w:abstractNumId w:val="35"/>
  </w:num>
  <w:num w:numId="7" w16cid:durableId="1442144663">
    <w:abstractNumId w:val="49"/>
  </w:num>
  <w:num w:numId="8" w16cid:durableId="1847281171">
    <w:abstractNumId w:val="66"/>
  </w:num>
  <w:num w:numId="9" w16cid:durableId="262684641">
    <w:abstractNumId w:val="71"/>
  </w:num>
  <w:num w:numId="10" w16cid:durableId="1551962444">
    <w:abstractNumId w:val="51"/>
  </w:num>
  <w:num w:numId="11" w16cid:durableId="1010907201">
    <w:abstractNumId w:val="28"/>
  </w:num>
  <w:num w:numId="12" w16cid:durableId="289484139">
    <w:abstractNumId w:val="40"/>
  </w:num>
  <w:num w:numId="13" w16cid:durableId="1237087246">
    <w:abstractNumId w:val="22"/>
  </w:num>
  <w:num w:numId="14" w16cid:durableId="1852181653">
    <w:abstractNumId w:val="58"/>
  </w:num>
  <w:num w:numId="15" w16cid:durableId="1352801148">
    <w:abstractNumId w:val="6"/>
  </w:num>
  <w:num w:numId="16" w16cid:durableId="1307662497">
    <w:abstractNumId w:val="25"/>
  </w:num>
  <w:num w:numId="17" w16cid:durableId="1058548968">
    <w:abstractNumId w:val="12"/>
  </w:num>
  <w:num w:numId="18" w16cid:durableId="1460294607">
    <w:abstractNumId w:val="24"/>
  </w:num>
  <w:num w:numId="19" w16cid:durableId="297540023">
    <w:abstractNumId w:val="59"/>
  </w:num>
  <w:num w:numId="20" w16cid:durableId="1575815286">
    <w:abstractNumId w:val="50"/>
  </w:num>
  <w:num w:numId="21" w16cid:durableId="880821375">
    <w:abstractNumId w:val="61"/>
  </w:num>
  <w:num w:numId="22" w16cid:durableId="1569684283">
    <w:abstractNumId w:val="41"/>
  </w:num>
  <w:num w:numId="23" w16cid:durableId="45105352">
    <w:abstractNumId w:val="4"/>
  </w:num>
  <w:num w:numId="24" w16cid:durableId="1606302559">
    <w:abstractNumId w:val="57"/>
  </w:num>
  <w:num w:numId="25" w16cid:durableId="985816029">
    <w:abstractNumId w:val="60"/>
  </w:num>
  <w:num w:numId="26" w16cid:durableId="1869565310">
    <w:abstractNumId w:val="46"/>
  </w:num>
  <w:num w:numId="27" w16cid:durableId="1453481344">
    <w:abstractNumId w:val="42"/>
  </w:num>
  <w:num w:numId="28" w16cid:durableId="1434982396">
    <w:abstractNumId w:val="69"/>
  </w:num>
  <w:num w:numId="29" w16cid:durableId="833912316">
    <w:abstractNumId w:val="11"/>
  </w:num>
  <w:num w:numId="30" w16cid:durableId="2097748105">
    <w:abstractNumId w:val="1"/>
  </w:num>
  <w:num w:numId="31" w16cid:durableId="1026097473">
    <w:abstractNumId w:val="43"/>
  </w:num>
  <w:num w:numId="32" w16cid:durableId="377125516">
    <w:abstractNumId w:val="16"/>
  </w:num>
  <w:num w:numId="33" w16cid:durableId="503786451">
    <w:abstractNumId w:val="64"/>
  </w:num>
  <w:num w:numId="34" w16cid:durableId="1784107098">
    <w:abstractNumId w:val="23"/>
  </w:num>
  <w:num w:numId="35" w16cid:durableId="1237206003">
    <w:abstractNumId w:val="29"/>
  </w:num>
  <w:num w:numId="36" w16cid:durableId="458039239">
    <w:abstractNumId w:val="47"/>
  </w:num>
  <w:num w:numId="37" w16cid:durableId="1456556843">
    <w:abstractNumId w:val="67"/>
  </w:num>
  <w:num w:numId="38" w16cid:durableId="950746442">
    <w:abstractNumId w:val="32"/>
  </w:num>
  <w:num w:numId="39" w16cid:durableId="1100875067">
    <w:abstractNumId w:val="48"/>
  </w:num>
  <w:num w:numId="40" w16cid:durableId="366684764">
    <w:abstractNumId w:val="8"/>
  </w:num>
  <w:num w:numId="41" w16cid:durableId="677583453">
    <w:abstractNumId w:val="13"/>
  </w:num>
  <w:num w:numId="42" w16cid:durableId="517351696">
    <w:abstractNumId w:val="53"/>
  </w:num>
  <w:num w:numId="43" w16cid:durableId="1839079322">
    <w:abstractNumId w:val="73"/>
  </w:num>
  <w:num w:numId="44" w16cid:durableId="1296642272">
    <w:abstractNumId w:val="72"/>
  </w:num>
  <w:num w:numId="45" w16cid:durableId="1839299122">
    <w:abstractNumId w:val="63"/>
  </w:num>
  <w:num w:numId="46" w16cid:durableId="861480010">
    <w:abstractNumId w:val="5"/>
  </w:num>
  <w:num w:numId="47" w16cid:durableId="241259540">
    <w:abstractNumId w:val="62"/>
  </w:num>
  <w:num w:numId="48" w16cid:durableId="154609576">
    <w:abstractNumId w:val="20"/>
  </w:num>
  <w:num w:numId="49" w16cid:durableId="748238431">
    <w:abstractNumId w:val="9"/>
  </w:num>
  <w:num w:numId="50" w16cid:durableId="2085253536">
    <w:abstractNumId w:val="70"/>
  </w:num>
  <w:num w:numId="51" w16cid:durableId="1790582280">
    <w:abstractNumId w:val="27"/>
  </w:num>
  <w:num w:numId="52" w16cid:durableId="1314673195">
    <w:abstractNumId w:val="30"/>
  </w:num>
  <w:num w:numId="53" w16cid:durableId="1299460511">
    <w:abstractNumId w:val="52"/>
  </w:num>
  <w:num w:numId="54" w16cid:durableId="530339264">
    <w:abstractNumId w:val="39"/>
  </w:num>
  <w:num w:numId="55" w16cid:durableId="523785667">
    <w:abstractNumId w:val="45"/>
  </w:num>
  <w:num w:numId="56" w16cid:durableId="379591359">
    <w:abstractNumId w:val="18"/>
  </w:num>
  <w:num w:numId="57" w16cid:durableId="1659264409">
    <w:abstractNumId w:val="65"/>
  </w:num>
  <w:num w:numId="58" w16cid:durableId="771317436">
    <w:abstractNumId w:val="31"/>
  </w:num>
  <w:num w:numId="59" w16cid:durableId="376705443">
    <w:abstractNumId w:val="38"/>
  </w:num>
  <w:num w:numId="60" w16cid:durableId="1916473772">
    <w:abstractNumId w:val="10"/>
  </w:num>
  <w:num w:numId="61" w16cid:durableId="872959930">
    <w:abstractNumId w:val="19"/>
  </w:num>
  <w:num w:numId="62" w16cid:durableId="1663006519">
    <w:abstractNumId w:val="36"/>
  </w:num>
  <w:num w:numId="63" w16cid:durableId="1063480851">
    <w:abstractNumId w:val="33"/>
  </w:num>
  <w:num w:numId="64" w16cid:durableId="681785389">
    <w:abstractNumId w:val="0"/>
  </w:num>
  <w:num w:numId="65" w16cid:durableId="720446092">
    <w:abstractNumId w:val="74"/>
  </w:num>
  <w:num w:numId="66" w16cid:durableId="1056583791">
    <w:abstractNumId w:val="44"/>
  </w:num>
  <w:num w:numId="67" w16cid:durableId="1438015021">
    <w:abstractNumId w:val="37"/>
  </w:num>
  <w:num w:numId="68" w16cid:durableId="1502508873">
    <w:abstractNumId w:val="7"/>
  </w:num>
  <w:num w:numId="69" w16cid:durableId="2091846487">
    <w:abstractNumId w:val="68"/>
  </w:num>
  <w:num w:numId="70" w16cid:durableId="503209262">
    <w:abstractNumId w:val="55"/>
  </w:num>
  <w:num w:numId="71" w16cid:durableId="134417955">
    <w:abstractNumId w:val="15"/>
  </w:num>
  <w:num w:numId="72" w16cid:durableId="432365249">
    <w:abstractNumId w:val="56"/>
  </w:num>
  <w:num w:numId="73" w16cid:durableId="1564102854">
    <w:abstractNumId w:val="17"/>
  </w:num>
  <w:num w:numId="74" w16cid:durableId="365133374">
    <w:abstractNumId w:val="14"/>
  </w:num>
  <w:num w:numId="75" w16cid:durableId="339355494">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Drawing1.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E644DCA-0B11-41CA-85F2-3525FDD7A86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115</Pages>
  <Words>43882</Words>
  <Characters>250130</Characters>
  <Application>Microsoft Office Word</Application>
  <DocSecurity>0</DocSecurity>
  <Lines>2084</Lines>
  <Paragraphs>586</Paragraphs>
  <ScaleCrop>false</ScaleCrop>
  <Company/>
  <LinksUpToDate>false</LinksUpToDate>
  <CharactersWithSpaces>293426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19</cp:revision>
  <dcterms:created xsi:type="dcterms:W3CDTF">2023-04-26T05:03:00Z</dcterms:created>
  <dcterms:modified xsi:type="dcterms:W3CDTF">2023-04-26T05:14:00Z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