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B899" w14:textId="77777777" w:rsidR="00DD6239" w:rsidRDefault="00423D6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맑은 고딕"/>
                <w:lang w:val="en-US" w:eastAsia="ko-KR"/>
              </w:rPr>
            </w:pPr>
            <w:r>
              <w:rPr>
                <w:rFonts w:eastAsia="맑은 고딕"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맑은 고딕"/>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r>
              <w:rPr>
                <w:rFonts w:eastAsia="Yu Mincho"/>
                <w:lang w:val="en-US" w:eastAsia="ja-JP"/>
              </w:rPr>
              <w:t>Zhisong Zuo</w:t>
            </w:r>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맑은 고딕"/>
                <w:lang w:val="en-US" w:eastAsia="ko-KR"/>
              </w:rPr>
            </w:pPr>
            <w:r>
              <w:rPr>
                <w:rFonts w:eastAsia="맑은 고딕" w:hint="eastAsia"/>
                <w:lang w:val="en-US" w:eastAsia="ko-KR"/>
              </w:rPr>
              <w:t>LG</w:t>
            </w:r>
          </w:p>
        </w:tc>
        <w:tc>
          <w:tcPr>
            <w:tcW w:w="1372" w:type="dxa"/>
          </w:tcPr>
          <w:p w14:paraId="79A06772" w14:textId="77777777" w:rsidR="00DD6239" w:rsidRDefault="00423D62">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9AD7ED2" w14:textId="77777777" w:rsidR="00DD6239" w:rsidRDefault="00423D62">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DD6239" w14:paraId="53DEA0E4" w14:textId="77777777">
        <w:tc>
          <w:tcPr>
            <w:tcW w:w="1479" w:type="dxa"/>
          </w:tcPr>
          <w:p w14:paraId="4C4E216C" w14:textId="77777777" w:rsidR="00DD6239" w:rsidRDefault="00423D62">
            <w:pPr>
              <w:jc w:val="left"/>
              <w:rPr>
                <w:rFonts w:eastAsia="맑은 고딕"/>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맑은 고딕"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맑은 고딕"/>
                <w:lang w:val="en-US" w:eastAsia="ko-KR"/>
              </w:rPr>
            </w:pPr>
            <w:r>
              <w:rPr>
                <w:rFonts w:eastAsia="맑은 고딕"/>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af6"/>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af6"/>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af6"/>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af6"/>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af6"/>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af6"/>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af6"/>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맑은 고딕"/>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맑은 고딕"/>
                <w:lang w:eastAsia="ko-KR"/>
              </w:rPr>
            </w:pPr>
            <w:r>
              <w:rPr>
                <w:rFonts w:eastAsia="맑은 고딕"/>
                <w:lang w:eastAsia="ko-KR"/>
              </w:rPr>
              <w:lastRenderedPageBreak/>
              <w:t>OPPO</w:t>
            </w:r>
          </w:p>
        </w:tc>
        <w:tc>
          <w:tcPr>
            <w:tcW w:w="1372" w:type="dxa"/>
          </w:tcPr>
          <w:p w14:paraId="44A93E52" w14:textId="77777777" w:rsidR="00DD6239" w:rsidRDefault="00423D62">
            <w:pPr>
              <w:tabs>
                <w:tab w:val="left" w:pos="551"/>
              </w:tabs>
              <w:jc w:val="left"/>
              <w:rPr>
                <w:rFonts w:eastAsia="맑은 고딕"/>
                <w:lang w:val="en-US" w:eastAsia="ko-KR"/>
              </w:rPr>
            </w:pPr>
            <w:r>
              <w:rPr>
                <w:rFonts w:eastAsia="맑은 고딕"/>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맑은 고딕"/>
                <w:lang w:val="en-US" w:eastAsia="ko-KR"/>
              </w:rPr>
            </w:pPr>
            <w:r>
              <w:rPr>
                <w:rFonts w:eastAsia="맑은 고딕"/>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맑은 고딕"/>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af6"/>
        <w:numPr>
          <w:ilvl w:val="1"/>
          <w:numId w:val="28"/>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맑은 고딕"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맑은 고딕"/>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맑은 고딕"/>
                <w:lang w:val="en-US" w:eastAsia="ko-KR"/>
              </w:rPr>
            </w:pPr>
            <w:r>
              <w:rPr>
                <w:rFonts w:eastAsia="맑은 고딕"/>
                <w:lang w:val="en-US" w:eastAsia="ko-KR"/>
              </w:rPr>
              <w:t>LG</w:t>
            </w:r>
          </w:p>
        </w:tc>
        <w:tc>
          <w:tcPr>
            <w:tcW w:w="1464" w:type="dxa"/>
          </w:tcPr>
          <w:p w14:paraId="30DE3F13"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688" w:type="dxa"/>
          </w:tcPr>
          <w:p w14:paraId="592688C7" w14:textId="77777777" w:rsidR="00DD6239" w:rsidRDefault="00423D62">
            <w:pPr>
              <w:jc w:val="left"/>
              <w:rPr>
                <w:rFonts w:eastAsia="맑은 고딕"/>
                <w:lang w:val="en-US" w:eastAsia="ko-KR"/>
              </w:rPr>
            </w:pPr>
            <w:r>
              <w:rPr>
                <w:rFonts w:eastAsia="맑은 고딕"/>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맑은 고딕"/>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맑은 고딕"/>
                <w:lang w:val="en-US" w:eastAsia="ko-KR"/>
              </w:rPr>
            </w:pPr>
          </w:p>
        </w:tc>
        <w:tc>
          <w:tcPr>
            <w:tcW w:w="1134" w:type="dxa"/>
          </w:tcPr>
          <w:p w14:paraId="3D45FA56" w14:textId="77777777" w:rsidR="00DD6239" w:rsidRDefault="00423D62">
            <w:pPr>
              <w:jc w:val="left"/>
              <w:rPr>
                <w:rFonts w:eastAsia="맑은 고딕"/>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맑은 고딕"/>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바탕체"/>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맑은 고딕"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맑은 고딕"/>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바탕체"/>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맑은 고딕"/>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맑은 고딕"/>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맑은 고딕"/>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3"/>
                  <w:rFonts w:ascii="Times New Roman" w:hAnsi="Times New Roman" w:cs="Times New Roman"/>
                  <w:color w:val="0000FF"/>
                  <w:sz w:val="20"/>
                  <w:szCs w:val="20"/>
                  <w:lang w:val="en-US"/>
                </w:rPr>
                <w:t>R1-2303898</w:t>
              </w:r>
            </w:hyperlink>
          </w:p>
          <w:p w14:paraId="24C0191A" w14:textId="77777777" w:rsidR="00DD6239" w:rsidRDefault="00423D6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바탕체"/>
                <w:lang w:val="en-US" w:eastAsia="ko-KR"/>
              </w:rPr>
              <w:t>Y</w:t>
            </w:r>
          </w:p>
        </w:tc>
        <w:tc>
          <w:tcPr>
            <w:tcW w:w="6780" w:type="dxa"/>
          </w:tcPr>
          <w:p w14:paraId="646D1579" w14:textId="77777777" w:rsidR="00DD6239" w:rsidRDefault="00423D62">
            <w:pPr>
              <w:jc w:val="left"/>
              <w:rPr>
                <w:rFonts w:eastAsia="PMingLiU"/>
                <w:lang w:val="en-US" w:eastAsia="zh-TW"/>
              </w:rPr>
            </w:pPr>
            <w:r>
              <w:rPr>
                <w:rFonts w:eastAsia="맑은 고딕" w:hint="eastAsia"/>
                <w:lang w:val="en-US" w:eastAsia="ko-KR"/>
              </w:rPr>
              <w:t xml:space="preserve">We are okay </w:t>
            </w:r>
            <w:r>
              <w:rPr>
                <w:rFonts w:eastAsia="맑은 고딕"/>
                <w:lang w:val="en-US" w:eastAsia="ko-KR"/>
              </w:rPr>
              <w:t>remove</w:t>
            </w:r>
            <w:r>
              <w:rPr>
                <w:rFonts w:eastAsia="맑은 고딕" w:hint="eastAsia"/>
                <w:lang w:val="en-US" w:eastAsia="ko-KR"/>
              </w:rPr>
              <w:t xml:space="preserve"> Option </w:t>
            </w:r>
            <w:r>
              <w:rPr>
                <w:rFonts w:eastAsia="맑은 고딕"/>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맑은 고딕"/>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바탕체"/>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맑은 고딕"/>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bl>
    <w:p w14:paraId="633002E5" w14:textId="77777777" w:rsidR="00DD6239" w:rsidRDefault="00DD6239">
      <w:pPr>
        <w:tabs>
          <w:tab w:val="left" w:pos="1530"/>
        </w:tabs>
        <w:rPr>
          <w:bCs/>
          <w:szCs w:val="22"/>
          <w:lang w:val="en-US"/>
        </w:rPr>
      </w:pPr>
    </w:p>
    <w:p w14:paraId="43EC028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맑은 고딕"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맑은 고딕"/>
                <w:lang w:val="en-US" w:eastAsia="ko-KR"/>
              </w:rPr>
              <w:t xml:space="preserve">Option </w:t>
            </w:r>
            <w:r>
              <w:rPr>
                <w:rFonts w:eastAsia="맑은 고딕" w:hint="eastAsia"/>
                <w:lang w:val="en-US" w:eastAsia="ko-KR"/>
              </w:rPr>
              <w:t>B</w:t>
            </w:r>
          </w:p>
        </w:tc>
        <w:tc>
          <w:tcPr>
            <w:tcW w:w="6780" w:type="dxa"/>
          </w:tcPr>
          <w:p w14:paraId="51398A53" w14:textId="77777777" w:rsidR="00DD6239" w:rsidRDefault="00423D62">
            <w:pPr>
              <w:jc w:val="left"/>
            </w:pPr>
            <w:r>
              <w:rPr>
                <w:rFonts w:eastAsia="맑은 고딕"/>
                <w:lang w:val="en-US" w:eastAsia="ko-KR"/>
              </w:rPr>
              <w:t>B</w:t>
            </w:r>
            <w:r>
              <w:rPr>
                <w:rFonts w:eastAsia="맑은 고딕" w:hint="eastAsia"/>
                <w:lang w:val="en-US" w:eastAsia="ko-KR"/>
              </w:rPr>
              <w:t>ut,</w:t>
            </w:r>
            <w:r>
              <w:rPr>
                <w:rFonts w:eastAsia="맑은 고딕"/>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맑은 고딕"/>
                <w:lang w:val="en-US" w:eastAsia="ko-KR"/>
              </w:rPr>
            </w:pPr>
          </w:p>
        </w:tc>
      </w:tr>
      <w:tr w:rsidR="00F86BD6" w14:paraId="4382D391" w14:textId="77777777">
        <w:tc>
          <w:tcPr>
            <w:tcW w:w="1479" w:type="dxa"/>
          </w:tcPr>
          <w:p w14:paraId="7683897F" w14:textId="77777777" w:rsidR="00F86BD6" w:rsidRDefault="00F86BD6" w:rsidP="00403322">
            <w:pPr>
              <w:jc w:val="left"/>
              <w:rPr>
                <w:rFonts w:eastAsia="맑은 고딕"/>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맑은 고딕"/>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맑은 고딕"/>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맑은 고딕" w:hint="eastAsia"/>
                <w:lang w:val="en-US" w:eastAsia="ko-KR"/>
              </w:rPr>
              <w:lastRenderedPageBreak/>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맑은 고딕"/>
                <w:lang w:val="en-US" w:eastAsia="ko-KR"/>
              </w:rPr>
              <w:t xml:space="preserve">The potential timeline relaxations </w:t>
            </w:r>
            <w:r>
              <w:rPr>
                <w:rFonts w:eastAsia="맑은 고딕" w:hint="eastAsia"/>
                <w:lang w:val="en-US" w:eastAsia="ko-KR"/>
              </w:rPr>
              <w:t xml:space="preserve">be considered in the same </w:t>
            </w:r>
            <w:r>
              <w:rPr>
                <w:rFonts w:eastAsia="맑은 고딕"/>
                <w:lang w:val="en-US" w:eastAsia="ko-KR"/>
              </w:rPr>
              <w:t xml:space="preserve">way </w:t>
            </w:r>
            <w:r>
              <w:rPr>
                <w:rFonts w:eastAsia="맑은 고딕" w:hint="eastAsia"/>
                <w:lang w:val="en-US" w:eastAsia="ko-KR"/>
              </w:rPr>
              <w:t>as for Msg 2</w:t>
            </w:r>
            <w:r>
              <w:rPr>
                <w:rFonts w:eastAsia="맑은 고딕"/>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맑은 고딕"/>
                <w:lang w:val="en-US" w:eastAsia="ko-KR"/>
              </w:rPr>
            </w:pPr>
          </w:p>
        </w:tc>
      </w:tr>
      <w:tr w:rsidR="00F86BD6" w14:paraId="589B496A" w14:textId="77777777">
        <w:tc>
          <w:tcPr>
            <w:tcW w:w="1479" w:type="dxa"/>
          </w:tcPr>
          <w:p w14:paraId="546A4234" w14:textId="77777777" w:rsidR="00F86BD6" w:rsidRDefault="00F86BD6" w:rsidP="00403322">
            <w:pPr>
              <w:jc w:val="left"/>
              <w:rPr>
                <w:rFonts w:eastAsia="맑은 고딕"/>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맑은 고딕"/>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af6"/>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af6"/>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af6"/>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맑은 고딕"/>
                <w:lang w:val="en-US" w:eastAsia="ko-KR"/>
              </w:rPr>
            </w:pPr>
            <w:r>
              <w:rPr>
                <w:rFonts w:eastAsia="맑은 고딕" w:hint="eastAsia"/>
                <w:lang w:val="en-US" w:eastAsia="ko-KR"/>
              </w:rPr>
              <w:t>LG</w:t>
            </w:r>
          </w:p>
        </w:tc>
        <w:tc>
          <w:tcPr>
            <w:tcW w:w="1372" w:type="dxa"/>
          </w:tcPr>
          <w:p w14:paraId="0D55C604" w14:textId="77777777" w:rsidR="00DD6239" w:rsidRDefault="00423D62">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E9A4C3D" w14:textId="77777777" w:rsidR="00DD6239" w:rsidRDefault="00423D62">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맑은 고딕"/>
                <w:lang w:val="en-US" w:eastAsia="ko-KR"/>
              </w:rPr>
            </w:pPr>
            <w:r>
              <w:rPr>
                <w:rFonts w:eastAsiaTheme="minorEastAsia" w:hint="eastAsia"/>
                <w:lang w:eastAsia="zh-CN"/>
              </w:rPr>
              <w:lastRenderedPageBreak/>
              <w:t>CATT</w:t>
            </w:r>
          </w:p>
        </w:tc>
        <w:tc>
          <w:tcPr>
            <w:tcW w:w="1372" w:type="dxa"/>
          </w:tcPr>
          <w:p w14:paraId="7140B116" w14:textId="77777777" w:rsidR="00DD6239" w:rsidRDefault="00423D6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w:t>
            </w:r>
            <w:r>
              <w:rPr>
                <w:rFonts w:eastAsia="Times New Roman"/>
              </w:rPr>
              <w:lastRenderedPageBreak/>
              <w:t>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af6"/>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맑은 고딕"/>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맑은 고딕"/>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af6"/>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맑은 고딕"/>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맑은 고딕"/>
                <w:lang w:val="en-US" w:eastAsia="ko-KR"/>
              </w:rPr>
            </w:pPr>
            <w:r>
              <w:rPr>
                <w:rFonts w:eastAsia="맑은 고딕"/>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맑은 고딕"/>
                <w:lang w:val="en-US" w:eastAsia="ko-KR"/>
              </w:rPr>
            </w:pPr>
            <w:r>
              <w:rPr>
                <w:rFonts w:eastAsia="맑은 고딕"/>
                <w:lang w:val="en-US" w:eastAsia="ko-KR"/>
              </w:rPr>
              <w:t xml:space="preserve">It can be considered to choose one out of 4 options below for PR1+20MHz </w:t>
            </w:r>
          </w:p>
          <w:p w14:paraId="4491DB4B" w14:textId="77777777" w:rsidR="00DD6239" w:rsidRDefault="00423D6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2A9698F9" w14:textId="77777777" w:rsidR="00DD6239" w:rsidRDefault="00423D62">
            <w:pPr>
              <w:pStyle w:val="af6"/>
              <w:numPr>
                <w:ilvl w:val="0"/>
                <w:numId w:val="46"/>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af6"/>
              <w:numPr>
                <w:ilvl w:val="0"/>
                <w:numId w:val="46"/>
              </w:numPr>
              <w:jc w:val="left"/>
              <w:rPr>
                <w:rFonts w:eastAsia="Yu Mincho"/>
                <w:lang w:val="en-US"/>
              </w:rPr>
            </w:pPr>
            <w:r>
              <w:rPr>
                <w:rFonts w:eastAsia="맑은 고딕"/>
                <w:sz w:val="20"/>
                <w:szCs w:val="20"/>
                <w:lang w:val="en-US" w:eastAsia="ko-KR"/>
              </w:rPr>
              <w:t>Option 3: network-configurable in any situation</w:t>
            </w:r>
          </w:p>
          <w:p w14:paraId="7502CF47" w14:textId="77777777" w:rsidR="00DD6239" w:rsidRDefault="00423D62">
            <w:pPr>
              <w:pStyle w:val="af6"/>
              <w:numPr>
                <w:ilvl w:val="0"/>
                <w:numId w:val="46"/>
              </w:numPr>
              <w:jc w:val="left"/>
              <w:rPr>
                <w:rFonts w:eastAsia="Yu Mincho"/>
                <w:lang w:val="en-US"/>
              </w:rPr>
            </w:pPr>
            <w:r>
              <w:rPr>
                <w:rFonts w:eastAsia="맑은 고딕"/>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lastRenderedPageBreak/>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lastRenderedPageBreak/>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af6"/>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af6"/>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맑은 고딕"/>
                <w:lang w:val="en-US" w:eastAsia="ko-KR"/>
              </w:rPr>
              <w:t xml:space="preserve">PR1-only eRedCap UEs are different from BW3/PR3+PR1 eRedCap UEs in terms of UE supported PDSCH/PUSCH bandwidth. We can discuss whether the same initial BWP can be </w:t>
            </w:r>
            <w:r>
              <w:rPr>
                <w:rFonts w:eastAsia="맑은 고딕"/>
                <w:lang w:val="en-US" w:eastAsia="ko-KR"/>
              </w:rPr>
              <w:lastRenderedPageBreak/>
              <w:t>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맑은 고딕"/>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DD6239" w14:paraId="566577E7" w14:textId="77777777">
        <w:tc>
          <w:tcPr>
            <w:tcW w:w="1479" w:type="dxa"/>
          </w:tcPr>
          <w:p w14:paraId="1567EABF" w14:textId="77777777" w:rsidR="00DD6239" w:rsidRDefault="00423D62">
            <w:pPr>
              <w:jc w:val="left"/>
              <w:rPr>
                <w:rFonts w:eastAsia="맑은 고딕"/>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맑은 고딕"/>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af6"/>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af6"/>
              <w:numPr>
                <w:ilvl w:val="0"/>
                <w:numId w:val="50"/>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af6"/>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lastRenderedPageBreak/>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af6"/>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맑은 고딕" w:hint="eastAsia"/>
                <w:lang w:val="en-US" w:eastAsia="ko-KR"/>
              </w:rPr>
              <w:t>LG</w:t>
            </w:r>
          </w:p>
        </w:tc>
        <w:tc>
          <w:tcPr>
            <w:tcW w:w="1464" w:type="dxa"/>
          </w:tcPr>
          <w:p w14:paraId="0B2BA3C5" w14:textId="77777777" w:rsidR="00DD6239" w:rsidRDefault="00423D62">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맑은 고딕"/>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맑은 고딕"/>
                <w:lang w:val="en-US" w:eastAsia="ko-KR"/>
              </w:rPr>
            </w:pPr>
            <w:r>
              <w:rPr>
                <w:rFonts w:eastAsia="맑은 고딕"/>
                <w:lang w:val="en-US" w:eastAsia="ko-KR"/>
              </w:rPr>
              <w:t>LG</w:t>
            </w:r>
          </w:p>
        </w:tc>
        <w:tc>
          <w:tcPr>
            <w:tcW w:w="1464" w:type="dxa"/>
          </w:tcPr>
          <w:p w14:paraId="17B7B2E5"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맑은 고딕"/>
                <w:lang w:val="en-US" w:eastAsia="ko-KR"/>
              </w:rPr>
            </w:pPr>
            <w:r>
              <w:rPr>
                <w:rFonts w:eastAsia="Yu Mincho"/>
                <w:lang w:val="en-US" w:eastAsia="ja-JP"/>
              </w:rPr>
              <w:lastRenderedPageBreak/>
              <w:t>DOCOMO</w:t>
            </w:r>
          </w:p>
        </w:tc>
        <w:tc>
          <w:tcPr>
            <w:tcW w:w="1464" w:type="dxa"/>
          </w:tcPr>
          <w:p w14:paraId="5AACC2E0" w14:textId="77777777" w:rsidR="00DD6239" w:rsidRDefault="00423D62">
            <w:pPr>
              <w:tabs>
                <w:tab w:val="left" w:pos="551"/>
              </w:tabs>
              <w:jc w:val="left"/>
              <w:rPr>
                <w:rFonts w:eastAsia="맑은 고딕"/>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To summarize, a UE shall be able to decode unicast PDSCH FDMed with SI PDSCH and</w:t>
            </w:r>
          </w:p>
          <w:p w14:paraId="7D755F21" w14:textId="77777777" w:rsidR="00DD6239" w:rsidRDefault="00423D6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lastRenderedPageBreak/>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lastRenderedPageBreak/>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lastRenderedPageBreak/>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맑은 고딕"/>
                <w:lang w:val="en-US" w:eastAsia="ko-KR"/>
              </w:rPr>
            </w:pPr>
            <w:r>
              <w:rPr>
                <w:rFonts w:eastAsia="맑은 고딕" w:hint="eastAsia"/>
                <w:lang w:val="en-US" w:eastAsia="ko-KR"/>
              </w:rPr>
              <w:t>LG</w:t>
            </w:r>
          </w:p>
        </w:tc>
        <w:tc>
          <w:tcPr>
            <w:tcW w:w="1464" w:type="dxa"/>
          </w:tcPr>
          <w:p w14:paraId="16DD3D2C" w14:textId="77777777" w:rsidR="00DD6239" w:rsidRDefault="00423D6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40806DB8" w14:textId="77777777" w:rsidR="00DD6239" w:rsidRDefault="00423D62">
            <w:pPr>
              <w:jc w:val="left"/>
              <w:rPr>
                <w:rFonts w:eastAsia="맑은 고딕"/>
                <w:lang w:val="en-US" w:eastAsia="ko-KR"/>
              </w:rPr>
            </w:pPr>
            <w:r>
              <w:rPr>
                <w:rFonts w:eastAsia="맑은 고딕"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af6"/>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af6"/>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맑은 고딕"/>
                <w:lang w:val="en-US" w:eastAsia="ko-KR"/>
              </w:rPr>
            </w:pPr>
            <w:r>
              <w:rPr>
                <w:rFonts w:eastAsiaTheme="minorEastAsia" w:hint="eastAsia"/>
                <w:lang w:val="en-US" w:eastAsia="zh-CN"/>
              </w:rPr>
              <w:lastRenderedPageBreak/>
              <w:t>CATT</w:t>
            </w:r>
          </w:p>
        </w:tc>
        <w:tc>
          <w:tcPr>
            <w:tcW w:w="1464" w:type="dxa"/>
          </w:tcPr>
          <w:p w14:paraId="2B8FF3ED"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맑은 고딕"/>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맑은 고딕"/>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lastRenderedPageBreak/>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맑은 고딕" w:hint="eastAsia"/>
                <w:lang w:val="en-US" w:eastAsia="ko-KR"/>
              </w:rPr>
              <w:lastRenderedPageBreak/>
              <w:t>M</w:t>
            </w:r>
            <w:r>
              <w:rPr>
                <w:rFonts w:eastAsia="맑은 고딕"/>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r>
              <w:rPr>
                <w:rFonts w:eastAsia="맑은 고딕"/>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맑은 고딕"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맑은 고딕" w:hint="eastAsia"/>
                <w:lang w:val="en-US" w:eastAsia="ko-KR"/>
              </w:rPr>
              <w:t>But, We</w:t>
            </w:r>
            <w:r>
              <w:rPr>
                <w:rFonts w:eastAsia="맑은 고딕"/>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맑은 고딕"/>
                <w:lang w:val="en-US" w:eastAsia="ko-KR"/>
              </w:rPr>
            </w:pPr>
          </w:p>
        </w:tc>
      </w:tr>
      <w:tr w:rsidR="00F86BD6" w14:paraId="0CAFB816" w14:textId="77777777">
        <w:tc>
          <w:tcPr>
            <w:tcW w:w="1479" w:type="dxa"/>
          </w:tcPr>
          <w:p w14:paraId="7727EA88" w14:textId="77777777" w:rsidR="00F86BD6" w:rsidRDefault="00F86BD6" w:rsidP="00403322">
            <w:pPr>
              <w:jc w:val="left"/>
              <w:rPr>
                <w:rFonts w:eastAsia="맑은 고딕"/>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맑은 고딕"/>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맑은 고딕"/>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403322">
            <w:pPr>
              <w:tabs>
                <w:tab w:val="left" w:pos="551"/>
              </w:tabs>
              <w:jc w:val="left"/>
              <w:rPr>
                <w:rFonts w:eastAsia="맑은 고딕"/>
                <w:lang w:val="en-US" w:eastAsia="ko-KR"/>
              </w:rPr>
            </w:pPr>
            <w:r>
              <w:rPr>
                <w:rFonts w:eastAsia="맑은 고딕"/>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bl>
    <w:p w14:paraId="4C35DC56" w14:textId="77777777" w:rsidR="00DD6239" w:rsidRDefault="00DD6239">
      <w:pPr>
        <w:rPr>
          <w:rFonts w:eastAsia="Microsoft YaHei UI"/>
          <w:lang w:val="en-US" w:eastAsia="zh-CN"/>
        </w:rPr>
      </w:pPr>
    </w:p>
    <w:p w14:paraId="4952BFDC"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t>
            </w:r>
            <w:r>
              <w:rPr>
                <w:rFonts w:eastAsiaTheme="minorEastAsia"/>
                <w:lang w:val="en-US" w:eastAsia="zh-CN"/>
              </w:rPr>
              <w:lastRenderedPageBreak/>
              <w:t xml:space="preserve">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맑은 고딕"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맑은 고딕"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맑은 고딕"/>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맑은 고딕"/>
                <w:lang w:val="en-US" w:eastAsia="ko-KR"/>
              </w:rPr>
            </w:pPr>
          </w:p>
        </w:tc>
      </w:tr>
      <w:tr w:rsidR="00F86BD6" w14:paraId="20C6B108" w14:textId="77777777">
        <w:tc>
          <w:tcPr>
            <w:tcW w:w="1479" w:type="dxa"/>
          </w:tcPr>
          <w:p w14:paraId="2E33E451" w14:textId="77777777" w:rsidR="00F86BD6" w:rsidRDefault="00F86BD6" w:rsidP="00403322">
            <w:pPr>
              <w:jc w:val="left"/>
              <w:rPr>
                <w:rFonts w:eastAsia="맑은 고딕"/>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맑은 고딕"/>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맑은 고딕"/>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403322">
            <w:pPr>
              <w:tabs>
                <w:tab w:val="left" w:pos="551"/>
              </w:tabs>
              <w:rPr>
                <w:rFonts w:eastAsia="맑은 고딕"/>
                <w:lang w:val="en-US" w:eastAsia="ko-KR"/>
              </w:rPr>
            </w:pPr>
            <w:r>
              <w:rPr>
                <w:rFonts w:eastAsia="맑은 고딕"/>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lastRenderedPageBreak/>
              <w:t>Update the agreements for SI PDSCH with the clarification as follows:</w:t>
            </w:r>
          </w:p>
          <w:p w14:paraId="6183D936" w14:textId="77777777" w:rsidR="00DD6239" w:rsidRDefault="00423D6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맑은 고딕"/>
                <w:lang w:val="en-US" w:eastAsia="ko-KR"/>
              </w:rPr>
            </w:pPr>
            <w:r>
              <w:rPr>
                <w:rFonts w:eastAsiaTheme="minorEastAsia" w:hint="eastAsia"/>
                <w:lang w:val="en-US" w:eastAsia="zh-CN"/>
              </w:rPr>
              <w:lastRenderedPageBreak/>
              <w:t>CATT</w:t>
            </w:r>
          </w:p>
        </w:tc>
        <w:tc>
          <w:tcPr>
            <w:tcW w:w="1372" w:type="dxa"/>
          </w:tcPr>
          <w:p w14:paraId="5EA1BC5B"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맑은 고딕"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맑은 고딕"/>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8" o:title=""/>
                </v:shape>
                <o:OLEObject Type="Embed" ProgID="Visio.Drawing.15" ShapeID="_x0000_i1025" DrawAspect="Content" ObjectID="_1743959544"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5pt;height:90.75pt" o:ole="">
                  <v:imagedata r:id="rId18" o:title=""/>
                </v:shape>
                <o:OLEObject Type="Embed" ProgID="Visio.Drawing.15" ShapeID="_x0000_i1026" DrawAspect="Content" ObjectID="_1743959545"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맑은 고딕"/>
                <w:lang w:val="en-US" w:eastAsia="ko-KR"/>
              </w:rPr>
            </w:pPr>
            <w:r>
              <w:rPr>
                <w:rFonts w:eastAsia="맑은 고딕"/>
                <w:lang w:val="en-US" w:eastAsia="ko-KR"/>
              </w:rPr>
              <w:t>OPPO</w:t>
            </w:r>
          </w:p>
        </w:tc>
        <w:tc>
          <w:tcPr>
            <w:tcW w:w="1372" w:type="dxa"/>
          </w:tcPr>
          <w:p w14:paraId="793D2D4E"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780" w:type="dxa"/>
          </w:tcPr>
          <w:p w14:paraId="3B00092A" w14:textId="77777777" w:rsidR="00DD6239" w:rsidRDefault="00423D62">
            <w:pPr>
              <w:jc w:val="left"/>
              <w:rPr>
                <w:rFonts w:eastAsia="맑은 고딕"/>
                <w:lang w:val="en-US" w:eastAsia="ko-KR"/>
              </w:rPr>
            </w:pPr>
            <w:r>
              <w:rPr>
                <w:rFonts w:eastAsia="맑은 고딕"/>
                <w:lang w:val="en-US" w:eastAsia="ko-KR"/>
              </w:rPr>
              <w:t>Usually this should not be defined as error cases results in no standardized behavior.</w:t>
            </w:r>
          </w:p>
          <w:p w14:paraId="0B6C659B" w14:textId="77777777" w:rsidR="00DD6239" w:rsidRDefault="00423D62">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맑은 고딕"/>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맑은 고딕"/>
                <w:lang w:val="en-US" w:eastAsia="ko-KR"/>
              </w:rPr>
            </w:pPr>
            <w:r>
              <w:rPr>
                <w:rFonts w:eastAsia="맑은 고딕"/>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lastRenderedPageBreak/>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맑은 고딕"/>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30"/>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lastRenderedPageBreak/>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맑은 고딕"/>
                <w:lang w:val="en-US" w:eastAsia="ko-KR"/>
              </w:rPr>
            </w:pPr>
            <w:r>
              <w:rPr>
                <w:rFonts w:eastAsia="맑은 고딕"/>
                <w:lang w:val="en-US" w:eastAsia="ko-KR"/>
              </w:rPr>
              <w:t>LG</w:t>
            </w:r>
          </w:p>
        </w:tc>
        <w:tc>
          <w:tcPr>
            <w:tcW w:w="1464" w:type="dxa"/>
          </w:tcPr>
          <w:p w14:paraId="4A132FCB"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688" w:type="dxa"/>
          </w:tcPr>
          <w:p w14:paraId="5D1D69F8" w14:textId="77777777" w:rsidR="00DD6239" w:rsidRDefault="00423D62">
            <w:pPr>
              <w:jc w:val="left"/>
              <w:rPr>
                <w:rFonts w:eastAsia="맑은 고딕"/>
                <w:lang w:val="en-US" w:eastAsia="ko-KR"/>
              </w:rPr>
            </w:pPr>
            <w:r>
              <w:rPr>
                <w:rFonts w:eastAsia="맑은 고딕"/>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lastRenderedPageBreak/>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맑은 고딕"/>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맑은 고딕"/>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맑은 고딕"/>
                <w:lang w:val="en-US" w:eastAsia="ko-KR"/>
              </w:rPr>
            </w:pPr>
            <w:r>
              <w:rPr>
                <w:rFonts w:eastAsia="맑은 고딕"/>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맑은 고딕"/>
                <w:lang w:val="en-US" w:eastAsia="ko-KR"/>
              </w:rPr>
            </w:pPr>
            <w:r>
              <w:rPr>
                <w:rFonts w:eastAsia="맑은 고딕"/>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맑은 고딕"/>
                <w:lang w:val="en-US" w:eastAsia="ko-KR"/>
              </w:rPr>
            </w:pPr>
            <w:r>
              <w:rPr>
                <w:rFonts w:eastAsia="맑은 고딕"/>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맑은 고딕"/>
                <w:lang w:val="en-US" w:eastAsia="ko-KR"/>
              </w:rPr>
            </w:pPr>
            <w:r>
              <w:rPr>
                <w:rFonts w:eastAsia="맑은 고딕"/>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맑은 고딕"/>
                <w:lang w:val="en-US" w:eastAsia="ko-KR"/>
              </w:rPr>
            </w:pPr>
            <w:r>
              <w:rPr>
                <w:rFonts w:eastAsia="맑은 고딕"/>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맑은 고딕"/>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맑은 고딕"/>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맑은 고딕"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맑은 고딕" w:hint="eastAsia"/>
                <w:lang w:val="en-US" w:eastAsia="ko-KR"/>
              </w:rPr>
              <w:t>OK</w:t>
            </w:r>
            <w:r>
              <w:rPr>
                <w:rFonts w:eastAsia="맑은 고딕"/>
                <w:lang w:val="en-US" w:eastAsia="ko-KR"/>
              </w:rPr>
              <w:t xml:space="preserve"> </w:t>
            </w:r>
            <w:r>
              <w:rPr>
                <w:rFonts w:eastAsia="맑은 고딕" w:hint="eastAsia"/>
                <w:lang w:val="en-US" w:eastAsia="ko-KR"/>
              </w:rPr>
              <w:t xml:space="preserve">with </w:t>
            </w:r>
            <w:r>
              <w:rPr>
                <w:rFonts w:eastAsia="맑은 고딕"/>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맑은 고딕"/>
                <w:lang w:val="en-US" w:eastAsia="ko-KR"/>
              </w:rPr>
            </w:pPr>
          </w:p>
        </w:tc>
      </w:tr>
      <w:tr w:rsidR="00F86BD6" w14:paraId="04A1B9CA" w14:textId="77777777">
        <w:tc>
          <w:tcPr>
            <w:tcW w:w="1479" w:type="dxa"/>
          </w:tcPr>
          <w:p w14:paraId="4E0FEF13" w14:textId="77777777" w:rsidR="00F86BD6" w:rsidRDefault="00F86BD6" w:rsidP="00403322">
            <w:pPr>
              <w:jc w:val="left"/>
              <w:rPr>
                <w:rFonts w:eastAsia="맑은 고딕"/>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맑은 고딕"/>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403322">
            <w:pPr>
              <w:tabs>
                <w:tab w:val="left" w:pos="551"/>
              </w:tabs>
              <w:jc w:val="left"/>
              <w:rPr>
                <w:rFonts w:eastAsia="맑은 고딕"/>
                <w:lang w:val="en-US" w:eastAsia="ko-KR"/>
              </w:rPr>
            </w:pPr>
            <w:r>
              <w:rPr>
                <w:rFonts w:eastAsia="맑은 고딕"/>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lastRenderedPageBreak/>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lastRenderedPageBreak/>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af6"/>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af6"/>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맑은 고딕"/>
                <w:lang w:val="en-US" w:eastAsia="ko-KR"/>
              </w:rPr>
            </w:pPr>
            <w:r>
              <w:rPr>
                <w:rFonts w:eastAsia="맑은 고딕"/>
                <w:lang w:val="en-US" w:eastAsia="ko-KR"/>
              </w:rPr>
              <w:t>LG</w:t>
            </w:r>
          </w:p>
        </w:tc>
        <w:tc>
          <w:tcPr>
            <w:tcW w:w="1464" w:type="dxa"/>
          </w:tcPr>
          <w:p w14:paraId="70D8D33F"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맑은 고딕"/>
                <w:lang w:val="en-US" w:eastAsia="ko-KR"/>
              </w:rPr>
              <w:t xml:space="preserve">UE needs to process the </w:t>
            </w:r>
            <w:r>
              <w:rPr>
                <w:rFonts w:eastAsia="맑은 고딕"/>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MsgB as Msg2 and need to change the proposal. We prefer the option 2 for maximizing gNB scheduling flexibility, which seems </w:t>
            </w:r>
            <w:r>
              <w:rPr>
                <w:rFonts w:eastAsiaTheme="minorEastAsia"/>
                <w:lang w:val="en-US" w:eastAsia="zh-CN"/>
              </w:rPr>
              <w:lastRenderedPageBreak/>
              <w:t>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lastRenderedPageBreak/>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lastRenderedPageBreak/>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lastRenderedPageBreak/>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맑은 고딕"/>
                <w:lang w:val="en-US" w:eastAsia="ko-KR"/>
              </w:rPr>
            </w:pPr>
            <w:r>
              <w:rPr>
                <w:rFonts w:eastAsia="맑은 고딕"/>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맑은 고딕"/>
                <w:lang w:val="en-US" w:eastAsia="ko-KR"/>
              </w:rPr>
            </w:pPr>
            <w:r>
              <w:rPr>
                <w:rFonts w:eastAsia="맑은 고딕"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맑은 고딕"/>
                <w:lang w:val="en-US" w:eastAsia="ko-KR"/>
              </w:rPr>
            </w:pPr>
            <w:r>
              <w:rPr>
                <w:rFonts w:eastAsia="맑은 고딕"/>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맑은 고딕"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215F6D19" w14:textId="77777777" w:rsidR="00DD6239" w:rsidRDefault="00423D62">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맑은 고딕"/>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맑은 고딕"/>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맑은 고딕"/>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맑은 고딕"/>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맑은 고딕"/>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55DE10EB" w14:textId="77777777"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 PR1”? The 20MHz+PR1 UE can have 20 Mbps </w:t>
            </w:r>
            <w:r>
              <w:rPr>
                <w:rFonts w:eastAsia="Yu Mincho"/>
                <w:bCs/>
                <w:sz w:val="20"/>
                <w:szCs w:val="20"/>
                <w:lang w:val="en-US"/>
              </w:rPr>
              <w:lastRenderedPageBreak/>
              <w:t>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af6"/>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맑은 고딕"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맑은 고딕"/>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lastRenderedPageBreak/>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lastRenderedPageBreak/>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lastRenderedPageBreak/>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바탕체"/>
                <w:lang w:val="en-US" w:eastAsia="ko-KR"/>
              </w:rPr>
              <w:t>LG</w:t>
            </w:r>
          </w:p>
        </w:tc>
        <w:tc>
          <w:tcPr>
            <w:tcW w:w="1464" w:type="dxa"/>
          </w:tcPr>
          <w:p w14:paraId="1E5F430C" w14:textId="77777777" w:rsidR="00DD6239" w:rsidRDefault="00423D62">
            <w:pPr>
              <w:tabs>
                <w:tab w:val="left" w:pos="551"/>
              </w:tabs>
              <w:jc w:val="left"/>
              <w:rPr>
                <w:rFonts w:eastAsia="맑은 고딕"/>
                <w:lang w:val="en-US" w:eastAsia="ko-KR"/>
              </w:rPr>
            </w:pPr>
            <w:r>
              <w:rPr>
                <w:rFonts w:eastAsia="맑은 고딕"/>
                <w:lang w:val="en-US" w:eastAsia="ko-KR"/>
              </w:rPr>
              <w:t xml:space="preserve">N </w:t>
            </w:r>
          </w:p>
        </w:tc>
        <w:tc>
          <w:tcPr>
            <w:tcW w:w="6688" w:type="dxa"/>
          </w:tcPr>
          <w:p w14:paraId="479BF45B" w14:textId="77777777" w:rsidR="00DD6239" w:rsidRDefault="00423D62">
            <w:pPr>
              <w:jc w:val="left"/>
              <w:rPr>
                <w:rFonts w:eastAsia="맑은 고딕"/>
                <w:lang w:val="en-US" w:eastAsia="ko-KR"/>
              </w:rPr>
            </w:pPr>
            <w:r>
              <w:rPr>
                <w:rFonts w:eastAsia="맑은 고딕"/>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맑은 고딕"/>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lastRenderedPageBreak/>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맑은 고딕"/>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w:t>
            </w:r>
            <w:r>
              <w:rPr>
                <w:rFonts w:eastAsiaTheme="minorEastAsia"/>
                <w:lang w:val="en-US" w:eastAsia="zh-CN"/>
              </w:rPr>
              <w:lastRenderedPageBreak/>
              <w:t>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af6"/>
              <w:numPr>
                <w:ilvl w:val="1"/>
                <w:numId w:val="69"/>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af6"/>
              <w:numPr>
                <w:ilvl w:val="2"/>
                <w:numId w:val="69"/>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lastRenderedPageBreak/>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맑은 고딕"/>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af6"/>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bookmarkStart w:id="18" w:name="_GoBack"/>
      <w:bookmarkEnd w:id="18"/>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"10" to specification language, it will be similarly difficult to translate another number. So, we are </w:t>
            </w:r>
            <w:r>
              <w:rPr>
                <w:rFonts w:eastAsia="Yu Mincho"/>
                <w:lang w:val="en-US" w:eastAsia="ja-JP"/>
              </w:rPr>
              <w:lastRenderedPageBreak/>
              <w:t>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w:t>
            </w:r>
            <w:r>
              <w:rPr>
                <w:rFonts w:eastAsia="SimSun" w:hint="eastAsia"/>
                <w:lang w:val="en-US" w:eastAsia="zh-CN"/>
              </w:rPr>
              <w:lastRenderedPageBreak/>
              <w:t>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맑은 고딕" w:hint="eastAsia"/>
                <w:lang w:val="en-US" w:eastAsia="ko-KR"/>
              </w:rPr>
            </w:pPr>
            <w:r>
              <w:rPr>
                <w:rFonts w:eastAsia="맑은 고딕"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맑은 고딕" w:hint="eastAsia"/>
                <w:lang w:val="en-US" w:eastAsia="ko-KR"/>
              </w:rPr>
            </w:pPr>
            <w:r>
              <w:rPr>
                <w:rFonts w:eastAsia="맑은 고딕"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맑은 고딕" w:hint="eastAsia"/>
                <w:lang w:val="en-US" w:eastAsia="ko-KR"/>
              </w:rPr>
            </w:pPr>
            <w:r>
              <w:rPr>
                <w:rFonts w:eastAsia="맑은 고딕" w:hint="eastAsia"/>
                <w:lang w:val="en-US" w:eastAsia="ko-KR"/>
              </w:rPr>
              <w:t xml:space="preserve">We think that it </w:t>
            </w:r>
            <w:r>
              <w:rPr>
                <w:rFonts w:eastAsia="맑은 고딕"/>
                <w:lang w:val="en-US" w:eastAsia="ko-KR"/>
              </w:rPr>
              <w:t>should be discussed in</w:t>
            </w:r>
            <w:r>
              <w:rPr>
                <w:rFonts w:eastAsia="맑은 고딕" w:hint="eastAsia"/>
                <w:lang w:val="en-US" w:eastAsia="ko-KR"/>
              </w:rPr>
              <w:t xml:space="preserve"> RAN plenary whether </w:t>
            </w:r>
            <w:r w:rsidR="00D55C5B">
              <w:rPr>
                <w:rFonts w:eastAsia="맑은 고딕"/>
                <w:lang w:val="en-US" w:eastAsia="ko-KR"/>
              </w:rPr>
              <w:t xml:space="preserve">the </w:t>
            </w:r>
            <w:r w:rsidRPr="00403322">
              <w:rPr>
                <w:rFonts w:eastAsia="맑은 고딕"/>
                <w:lang w:val="en-US" w:eastAsia="ko-KR"/>
              </w:rPr>
              <w:t>maximum supported peak rate</w:t>
            </w:r>
            <w:r>
              <w:rPr>
                <w:rFonts w:eastAsia="맑은 고딕"/>
                <w:lang w:val="en-US" w:eastAsia="ko-KR"/>
              </w:rPr>
              <w:t xml:space="preserve"> is needed</w:t>
            </w:r>
          </w:p>
        </w:tc>
      </w:tr>
    </w:tbl>
    <w:p w14:paraId="336E79B0" w14:textId="77777777" w:rsidR="00DD6239"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af6"/>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af6"/>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맑은 고딕"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맑은 고딕"/>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af6"/>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w:t>
            </w:r>
            <w:r>
              <w:rPr>
                <w:rFonts w:eastAsiaTheme="minorEastAsia" w:hint="eastAsia"/>
                <w:lang w:val="en-US" w:eastAsia="zh-CN"/>
              </w:rPr>
              <w:lastRenderedPageBreak/>
              <w:t>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맑은 고딕"/>
                <w:lang w:val="en-US" w:eastAsia="ko-KR"/>
              </w:rPr>
            </w:pPr>
            <w:r>
              <w:rPr>
                <w:rFonts w:eastAsia="맑은 고딕" w:hint="eastAsia"/>
                <w:lang w:val="en-US" w:eastAsia="ko-KR"/>
              </w:rPr>
              <w:t>LG</w:t>
            </w:r>
          </w:p>
        </w:tc>
        <w:tc>
          <w:tcPr>
            <w:tcW w:w="1464" w:type="dxa"/>
          </w:tcPr>
          <w:p w14:paraId="155B7B97" w14:textId="77777777" w:rsidR="00DD6239" w:rsidRDefault="00423D6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맑은 고딕"/>
                <w:lang w:val="en-US" w:eastAsia="ko-KR"/>
              </w:rPr>
            </w:pPr>
            <w:r>
              <w:rPr>
                <w:rFonts w:eastAsia="맑은 고딕"/>
                <w:lang w:val="en-US" w:eastAsia="ko-KR"/>
              </w:rPr>
              <w:t>OPPO</w:t>
            </w:r>
          </w:p>
        </w:tc>
        <w:tc>
          <w:tcPr>
            <w:tcW w:w="1464" w:type="dxa"/>
          </w:tcPr>
          <w:p w14:paraId="72C79AD0" w14:textId="77777777" w:rsidR="00DD6239" w:rsidRDefault="00DD6239">
            <w:pPr>
              <w:tabs>
                <w:tab w:val="left" w:pos="551"/>
              </w:tabs>
              <w:jc w:val="left"/>
              <w:rPr>
                <w:rFonts w:eastAsia="맑은 고딕"/>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맑은 고딕"/>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맑은 고딕"/>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af6"/>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af6"/>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맑은 고딕"/>
                <w:lang w:val="en-US" w:eastAsia="ko-KR"/>
              </w:rPr>
              <w:t>SONY</w:t>
            </w:r>
          </w:p>
        </w:tc>
        <w:tc>
          <w:tcPr>
            <w:tcW w:w="1464" w:type="dxa"/>
          </w:tcPr>
          <w:p w14:paraId="47F95788" w14:textId="77777777" w:rsidR="00DD6239" w:rsidRDefault="00423D62">
            <w:pPr>
              <w:tabs>
                <w:tab w:val="left" w:pos="551"/>
              </w:tabs>
              <w:jc w:val="left"/>
              <w:rPr>
                <w:rFonts w:eastAsia="맑은 고딕"/>
                <w:lang w:val="en-US" w:eastAsia="ko-KR"/>
              </w:rPr>
            </w:pPr>
            <w:r>
              <w:rPr>
                <w:rFonts w:eastAsia="맑은 고딕"/>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af6"/>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af6"/>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맑은 고딕" w:hint="eastAsia"/>
                <w:lang w:val="en-US" w:eastAsia="ko-KR"/>
              </w:rPr>
              <w:lastRenderedPageBreak/>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맑은 고딕"/>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af6"/>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맑은 고딕"/>
                <w:lang w:val="en-US" w:eastAsia="ko-KR"/>
              </w:rPr>
            </w:pPr>
            <w:r>
              <w:rPr>
                <w:rFonts w:eastAsia="맑은 고딕" w:hint="eastAsia"/>
                <w:lang w:val="en-US" w:eastAsia="ko-KR"/>
              </w:rPr>
              <w:t>LG</w:t>
            </w:r>
          </w:p>
        </w:tc>
        <w:tc>
          <w:tcPr>
            <w:tcW w:w="1464" w:type="dxa"/>
          </w:tcPr>
          <w:p w14:paraId="76CE3FEF" w14:textId="77777777" w:rsidR="00DD6239" w:rsidRDefault="00423D62">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맑은 고딕"/>
                <w:lang w:val="en-US" w:eastAsia="ko-KR"/>
              </w:rPr>
            </w:pPr>
            <w:r>
              <w:rPr>
                <w:rFonts w:eastAsia="맑은 고딕"/>
                <w:lang w:val="en-US" w:eastAsia="ko-KR"/>
              </w:rPr>
              <w:t>OPPO</w:t>
            </w:r>
          </w:p>
        </w:tc>
        <w:tc>
          <w:tcPr>
            <w:tcW w:w="1464" w:type="dxa"/>
          </w:tcPr>
          <w:p w14:paraId="7F27100C" w14:textId="77777777" w:rsidR="00DD6239" w:rsidRDefault="00423D62">
            <w:pPr>
              <w:tabs>
                <w:tab w:val="left" w:pos="551"/>
              </w:tabs>
              <w:jc w:val="left"/>
              <w:rPr>
                <w:rFonts w:eastAsia="맑은 고딕"/>
                <w:lang w:val="en-US" w:eastAsia="ko-KR"/>
              </w:rPr>
            </w:pPr>
            <w:r>
              <w:rPr>
                <w:rFonts w:eastAsia="맑은 고딕"/>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맑은 고딕"/>
                <w:lang w:val="en-US" w:eastAsia="ko-KR"/>
              </w:rPr>
            </w:pPr>
            <w:r>
              <w:rPr>
                <w:rFonts w:eastAsia="맑은 고딕"/>
                <w:lang w:val="en-US" w:eastAsia="ko-KR"/>
              </w:rPr>
              <w:t>SONY</w:t>
            </w:r>
          </w:p>
        </w:tc>
        <w:tc>
          <w:tcPr>
            <w:tcW w:w="1464" w:type="dxa"/>
          </w:tcPr>
          <w:p w14:paraId="7152CCD3" w14:textId="77777777" w:rsidR="00DD6239" w:rsidRDefault="00423D62">
            <w:pPr>
              <w:tabs>
                <w:tab w:val="left" w:pos="551"/>
              </w:tabs>
              <w:jc w:val="left"/>
              <w:rPr>
                <w:rFonts w:eastAsia="맑은 고딕"/>
                <w:lang w:val="en-US" w:eastAsia="ko-KR"/>
              </w:rPr>
            </w:pPr>
            <w:r>
              <w:rPr>
                <w:rFonts w:eastAsia="맑은 고딕"/>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lastRenderedPageBreak/>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af6"/>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lastRenderedPageBreak/>
        <w:t>FDRA optimization</w:t>
      </w:r>
    </w:p>
    <w:p w14:paraId="20E7E5F2" w14:textId="77777777" w:rsidR="00DD6239" w:rsidRDefault="00423D62">
      <w:pPr>
        <w:pStyle w:val="af6"/>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af6"/>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af6"/>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af6"/>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af6"/>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af6"/>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af6"/>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af6"/>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af6"/>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af6"/>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맑은 고딕" w:hint="eastAsia"/>
                <w:lang w:val="en-US" w:eastAsia="ko-KR"/>
              </w:rPr>
            </w:pPr>
            <w:r>
              <w:rPr>
                <w:rFonts w:eastAsia="맑은 고딕" w:hint="eastAsia"/>
                <w:lang w:val="en-US" w:eastAsia="ko-KR"/>
              </w:rPr>
              <w:lastRenderedPageBreak/>
              <w:t>LG2</w:t>
            </w:r>
          </w:p>
        </w:tc>
        <w:tc>
          <w:tcPr>
            <w:tcW w:w="8152" w:type="dxa"/>
            <w:gridSpan w:val="2"/>
          </w:tcPr>
          <w:p w14:paraId="3652E9F1" w14:textId="77777777" w:rsidR="00403322" w:rsidRDefault="00DB16D8" w:rsidP="00EC2A66">
            <w:pPr>
              <w:jc w:val="left"/>
              <w:rPr>
                <w:rFonts w:eastAsia="맑은 고딕"/>
                <w:bCs/>
                <w:szCs w:val="22"/>
                <w:lang w:val="en-US" w:eastAsia="ko-KR"/>
              </w:rPr>
            </w:pPr>
            <w:r w:rsidRPr="00DB16D8">
              <w:rPr>
                <w:rFonts w:eastAsia="맑은 고딕"/>
                <w:bCs/>
                <w:szCs w:val="22"/>
                <w:lang w:val="en-US" w:eastAsia="ko-KR"/>
              </w:rPr>
              <w:t xml:space="preserve">We think that the discussion on </w:t>
            </w:r>
            <w:r w:rsidRPr="00EC2A66">
              <w:rPr>
                <w:rFonts w:eastAsia="맑은 고딕" w:hint="eastAsia"/>
                <w:b/>
                <w:bCs/>
                <w:szCs w:val="22"/>
                <w:lang w:val="en-US" w:eastAsia="ko-KR"/>
              </w:rPr>
              <w:t>C</w:t>
            </w:r>
            <w:r w:rsidRPr="00EC2A66">
              <w:rPr>
                <w:rFonts w:eastAsia="맑은 고딕"/>
                <w:b/>
                <w:bCs/>
                <w:szCs w:val="22"/>
                <w:lang w:val="en-US" w:eastAsia="ko-KR"/>
              </w:rPr>
              <w:t>ommon PUCCH capacity</w:t>
            </w:r>
            <w:r w:rsidRPr="00DB16D8">
              <w:rPr>
                <w:rFonts w:eastAsia="맑은 고딕"/>
                <w:bCs/>
                <w:szCs w:val="22"/>
                <w:lang w:val="en-US" w:eastAsia="ko-KR"/>
              </w:rPr>
              <w:t xml:space="preserve"> </w:t>
            </w:r>
            <w:r w:rsidR="00EC2A66">
              <w:rPr>
                <w:rFonts w:eastAsia="맑은 고딕"/>
                <w:bCs/>
                <w:szCs w:val="22"/>
                <w:lang w:val="en-US" w:eastAsia="ko-KR"/>
              </w:rPr>
              <w:t>can also be</w:t>
            </w:r>
            <w:r w:rsidRPr="00DB16D8">
              <w:rPr>
                <w:rFonts w:eastAsia="맑은 고딕"/>
                <w:bCs/>
                <w:szCs w:val="22"/>
                <w:lang w:val="en-US" w:eastAsia="ko-KR"/>
              </w:rPr>
              <w:t xml:space="preserve"> needed</w:t>
            </w:r>
            <w:r w:rsidRPr="00DB16D8">
              <w:rPr>
                <w:rFonts w:eastAsia="맑은 고딕" w:hint="eastAsia"/>
                <w:bCs/>
                <w:szCs w:val="22"/>
                <w:lang w:val="en-US" w:eastAsia="ko-KR"/>
              </w:rPr>
              <w:t xml:space="preserve"> as DOCOMO referred</w:t>
            </w:r>
            <w:r w:rsidRPr="00DB16D8">
              <w:rPr>
                <w:rFonts w:eastAsia="맑은 고딕"/>
                <w:bCs/>
                <w:szCs w:val="22"/>
                <w:lang w:val="en-US" w:eastAsia="ko-KR"/>
              </w:rPr>
              <w:t xml:space="preserve"> to</w:t>
            </w:r>
            <w:r w:rsidR="00EC2A66">
              <w:rPr>
                <w:rFonts w:eastAsia="맑은 고딕"/>
                <w:bCs/>
                <w:szCs w:val="22"/>
                <w:lang w:val="en-US" w:eastAsia="ko-KR"/>
              </w:rPr>
              <w:t>.</w:t>
            </w:r>
            <w:r w:rsidRPr="00DB16D8">
              <w:rPr>
                <w:rFonts w:eastAsia="맑은 고딕" w:hint="eastAsia"/>
                <w:bCs/>
                <w:szCs w:val="22"/>
                <w:lang w:val="en-US" w:eastAsia="ko-KR"/>
              </w:rPr>
              <w:t xml:space="preserve"> </w:t>
            </w:r>
            <w:r w:rsidRPr="00DB16D8">
              <w:rPr>
                <w:rFonts w:eastAsia="맑은 고딕"/>
                <w:bCs/>
                <w:szCs w:val="22"/>
                <w:lang w:val="en-US" w:eastAsia="ko-KR"/>
              </w:rPr>
              <w:t xml:space="preserve"> </w:t>
            </w:r>
          </w:p>
          <w:p w14:paraId="48C5982A" w14:textId="2952038C" w:rsidR="008503CD" w:rsidRPr="00DB16D8" w:rsidRDefault="008503CD" w:rsidP="00EC2A66">
            <w:pPr>
              <w:jc w:val="left"/>
              <w:rPr>
                <w:rFonts w:eastAsia="맑은 고딕" w:hint="eastAsia"/>
                <w:bCs/>
                <w:szCs w:val="22"/>
                <w:lang w:val="en-US" w:eastAsia="ko-KR"/>
              </w:rPr>
            </w:pPr>
            <w:r>
              <w:rPr>
                <w:rFonts w:eastAsia="Yu Mincho"/>
                <w:lang w:val="en-US" w:eastAsia="ja-JP"/>
              </w:rPr>
              <w:t>E</w:t>
            </w:r>
            <w:r>
              <w:rPr>
                <w:rFonts w:eastAsia="Yu Mincho"/>
                <w:lang w:val="en-US" w:eastAsia="ja-JP"/>
              </w:rPr>
              <w:t>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9"/>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403322">
            <w:pPr>
              <w:jc w:val="left"/>
              <w:rPr>
                <w:color w:val="0000FF"/>
                <w:u w:val="single"/>
                <w:lang w:val="en-US"/>
              </w:rPr>
            </w:pPr>
            <w:hyperlink r:id="rId24" w:history="1">
              <w:r w:rsidR="00423D62">
                <w:rPr>
                  <w:rStyle w:val="af3"/>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403322">
            <w:pPr>
              <w:jc w:val="left"/>
              <w:rPr>
                <w:rFonts w:eastAsia="Calibri"/>
                <w:color w:val="0000FF"/>
                <w:u w:val="single"/>
                <w:lang w:val="en-US"/>
              </w:rPr>
            </w:pPr>
            <w:hyperlink r:id="rId25" w:history="1">
              <w:r w:rsidR="00423D62">
                <w:rPr>
                  <w:rStyle w:val="af3"/>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403322">
            <w:pPr>
              <w:jc w:val="left"/>
              <w:rPr>
                <w:rStyle w:val="af3"/>
                <w:color w:val="0000FF"/>
              </w:rPr>
            </w:pPr>
            <w:hyperlink r:id="rId26" w:history="1">
              <w:r w:rsidR="00423D62">
                <w:rPr>
                  <w:rStyle w:val="af3"/>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403322">
            <w:pPr>
              <w:jc w:val="left"/>
              <w:rPr>
                <w:rStyle w:val="af3"/>
                <w:color w:val="0000FF"/>
              </w:rPr>
            </w:pPr>
            <w:hyperlink r:id="rId27" w:history="1">
              <w:r w:rsidR="00423D62">
                <w:rPr>
                  <w:rStyle w:val="af3"/>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403322">
            <w:pPr>
              <w:jc w:val="left"/>
              <w:rPr>
                <w:rStyle w:val="af3"/>
                <w:color w:val="0000FF"/>
              </w:rPr>
            </w:pPr>
            <w:hyperlink r:id="rId28" w:history="1">
              <w:r w:rsidR="00423D62">
                <w:rPr>
                  <w:rStyle w:val="af3"/>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403322">
            <w:pPr>
              <w:jc w:val="left"/>
              <w:rPr>
                <w:rStyle w:val="af3"/>
                <w:color w:val="0000FF"/>
              </w:rPr>
            </w:pPr>
            <w:hyperlink r:id="rId29" w:history="1">
              <w:r w:rsidR="00423D62">
                <w:rPr>
                  <w:rStyle w:val="af3"/>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403322">
            <w:pPr>
              <w:jc w:val="left"/>
              <w:rPr>
                <w:rStyle w:val="af3"/>
                <w:color w:val="0000FF"/>
                <w:lang w:val="en-US" w:eastAsia="sv-SE"/>
              </w:rPr>
            </w:pPr>
            <w:hyperlink r:id="rId30" w:history="1">
              <w:r w:rsidR="00423D62">
                <w:rPr>
                  <w:rStyle w:val="af3"/>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403322">
            <w:pPr>
              <w:jc w:val="left"/>
              <w:rPr>
                <w:rStyle w:val="af3"/>
                <w:color w:val="0000FF"/>
                <w:lang w:val="en-US" w:eastAsia="sv-SE"/>
              </w:rPr>
            </w:pPr>
            <w:hyperlink r:id="rId31" w:history="1">
              <w:r w:rsidR="00423D62">
                <w:rPr>
                  <w:rStyle w:val="af3"/>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403322">
            <w:pPr>
              <w:jc w:val="left"/>
              <w:rPr>
                <w:rStyle w:val="af3"/>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403322">
            <w:pPr>
              <w:jc w:val="left"/>
              <w:rPr>
                <w:rStyle w:val="af3"/>
                <w:color w:val="0000FF"/>
                <w:lang w:val="en-US" w:eastAsia="sv-SE"/>
              </w:rPr>
            </w:pPr>
            <w:hyperlink r:id="rId33" w:history="1">
              <w:r w:rsidR="00423D62">
                <w:rPr>
                  <w:rStyle w:val="af3"/>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403322">
            <w:pPr>
              <w:jc w:val="left"/>
              <w:rPr>
                <w:rStyle w:val="af3"/>
                <w:color w:val="0000FF"/>
                <w:lang w:val="en-US" w:eastAsia="sv-SE"/>
              </w:rPr>
            </w:pPr>
            <w:hyperlink r:id="rId34" w:history="1">
              <w:r w:rsidR="00423D62">
                <w:rPr>
                  <w:rStyle w:val="af3"/>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403322">
            <w:pPr>
              <w:jc w:val="left"/>
              <w:rPr>
                <w:rStyle w:val="af3"/>
                <w:color w:val="0000FF"/>
                <w:lang w:val="en-US" w:eastAsia="sv-SE"/>
              </w:rPr>
            </w:pPr>
            <w:hyperlink r:id="rId35" w:history="1">
              <w:r w:rsidR="00423D62">
                <w:rPr>
                  <w:rStyle w:val="af3"/>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403322">
            <w:pPr>
              <w:jc w:val="left"/>
              <w:rPr>
                <w:rStyle w:val="af3"/>
                <w:color w:val="0000FF"/>
                <w:lang w:val="en-US" w:eastAsia="sv-SE"/>
              </w:rPr>
            </w:pPr>
            <w:hyperlink r:id="rId36" w:history="1">
              <w:r w:rsidR="00423D62">
                <w:rPr>
                  <w:rStyle w:val="af3"/>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403322">
            <w:pPr>
              <w:jc w:val="left"/>
              <w:rPr>
                <w:rStyle w:val="af3"/>
                <w:color w:val="0000FF"/>
                <w:lang w:val="en-US" w:eastAsia="sv-SE"/>
              </w:rPr>
            </w:pPr>
            <w:hyperlink r:id="rId37" w:history="1">
              <w:r w:rsidR="00423D62">
                <w:rPr>
                  <w:rStyle w:val="af3"/>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403322">
            <w:pPr>
              <w:jc w:val="left"/>
              <w:rPr>
                <w:rStyle w:val="af3"/>
                <w:color w:val="0000FF"/>
                <w:lang w:val="en-US" w:eastAsia="sv-SE"/>
              </w:rPr>
            </w:pPr>
            <w:hyperlink r:id="rId38" w:history="1">
              <w:r w:rsidR="00423D62">
                <w:rPr>
                  <w:rStyle w:val="af3"/>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403322">
            <w:pPr>
              <w:jc w:val="left"/>
              <w:rPr>
                <w:rStyle w:val="af3"/>
                <w:color w:val="0000FF"/>
                <w:lang w:val="en-US" w:eastAsia="sv-SE"/>
              </w:rPr>
            </w:pPr>
            <w:hyperlink r:id="rId39" w:history="1">
              <w:r w:rsidR="00423D62">
                <w:rPr>
                  <w:rStyle w:val="af3"/>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403322">
            <w:pPr>
              <w:jc w:val="left"/>
              <w:rPr>
                <w:rStyle w:val="af3"/>
                <w:color w:val="0000FF"/>
                <w:lang w:val="en-US" w:eastAsia="sv-SE"/>
              </w:rPr>
            </w:pPr>
            <w:hyperlink r:id="rId40" w:history="1">
              <w:r w:rsidR="00423D62">
                <w:rPr>
                  <w:rStyle w:val="af3"/>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403322">
            <w:pPr>
              <w:jc w:val="left"/>
              <w:rPr>
                <w:rStyle w:val="af3"/>
                <w:color w:val="0000FF"/>
                <w:lang w:val="en-US" w:eastAsia="sv-SE"/>
              </w:rPr>
            </w:pPr>
            <w:hyperlink r:id="rId41" w:history="1">
              <w:r w:rsidR="00423D62">
                <w:rPr>
                  <w:rStyle w:val="af3"/>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403322">
            <w:pPr>
              <w:jc w:val="left"/>
              <w:rPr>
                <w:rStyle w:val="af3"/>
                <w:color w:val="0000FF"/>
                <w:lang w:val="en-US" w:eastAsia="sv-SE"/>
              </w:rPr>
            </w:pPr>
            <w:hyperlink r:id="rId42" w:history="1">
              <w:r w:rsidR="00423D62">
                <w:rPr>
                  <w:rStyle w:val="af3"/>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403322">
            <w:pPr>
              <w:jc w:val="left"/>
              <w:rPr>
                <w:rStyle w:val="af3"/>
                <w:color w:val="0000FF"/>
                <w:lang w:val="en-US" w:eastAsia="sv-SE"/>
              </w:rPr>
            </w:pPr>
            <w:hyperlink r:id="rId43" w:history="1">
              <w:r w:rsidR="00423D62">
                <w:rPr>
                  <w:rStyle w:val="af3"/>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lastRenderedPageBreak/>
              <w:t>[21]</w:t>
            </w:r>
          </w:p>
        </w:tc>
        <w:tc>
          <w:tcPr>
            <w:tcW w:w="1456" w:type="dxa"/>
            <w:tcMar>
              <w:top w:w="0" w:type="dxa"/>
              <w:left w:w="70" w:type="dxa"/>
              <w:bottom w:w="0" w:type="dxa"/>
              <w:right w:w="70" w:type="dxa"/>
            </w:tcMar>
          </w:tcPr>
          <w:p w14:paraId="572D45A3" w14:textId="77777777" w:rsidR="00DD6239" w:rsidRDefault="00403322">
            <w:pPr>
              <w:jc w:val="left"/>
              <w:rPr>
                <w:rStyle w:val="af3"/>
                <w:color w:val="0000FF"/>
                <w:lang w:val="en-US" w:eastAsia="sv-SE"/>
              </w:rPr>
            </w:pPr>
            <w:hyperlink r:id="rId44" w:history="1">
              <w:r w:rsidR="00423D62">
                <w:rPr>
                  <w:rStyle w:val="af3"/>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403322">
            <w:pPr>
              <w:jc w:val="left"/>
              <w:rPr>
                <w:rStyle w:val="af3"/>
                <w:color w:val="0000FF"/>
                <w:lang w:val="en-US" w:eastAsia="sv-SE"/>
              </w:rPr>
            </w:pPr>
            <w:hyperlink r:id="rId45" w:history="1">
              <w:r w:rsidR="00423D62">
                <w:rPr>
                  <w:rStyle w:val="af3"/>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403322">
            <w:pPr>
              <w:jc w:val="left"/>
              <w:rPr>
                <w:rStyle w:val="af3"/>
                <w:color w:val="0000FF"/>
                <w:lang w:val="en-US" w:eastAsia="sv-SE"/>
              </w:rPr>
            </w:pPr>
            <w:hyperlink r:id="rId46" w:history="1">
              <w:r w:rsidR="00423D62">
                <w:rPr>
                  <w:rStyle w:val="af3"/>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403322">
            <w:pPr>
              <w:jc w:val="left"/>
              <w:rPr>
                <w:rStyle w:val="af3"/>
                <w:color w:val="0000FF"/>
                <w:lang w:val="en-US" w:eastAsia="sv-SE"/>
              </w:rPr>
            </w:pPr>
            <w:hyperlink r:id="rId47" w:history="1">
              <w:r w:rsidR="00423D62">
                <w:rPr>
                  <w:rStyle w:val="af3"/>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403322">
            <w:pPr>
              <w:jc w:val="left"/>
              <w:rPr>
                <w:rStyle w:val="af3"/>
                <w:color w:val="0000FF"/>
                <w:lang w:val="en-US" w:eastAsia="sv-SE"/>
              </w:rPr>
            </w:pPr>
            <w:hyperlink r:id="rId48" w:history="1">
              <w:r w:rsidR="00423D62">
                <w:rPr>
                  <w:rStyle w:val="af3"/>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403322">
            <w:pPr>
              <w:jc w:val="left"/>
              <w:rPr>
                <w:rStyle w:val="af3"/>
                <w:color w:val="0000FF"/>
                <w:lang w:val="en-US" w:eastAsia="sv-SE"/>
              </w:rPr>
            </w:pPr>
            <w:hyperlink r:id="rId49" w:history="1">
              <w:r w:rsidR="00423D62">
                <w:rPr>
                  <w:rStyle w:val="af3"/>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403322">
            <w:pPr>
              <w:jc w:val="left"/>
              <w:rPr>
                <w:rStyle w:val="af3"/>
                <w:color w:val="0000FF"/>
                <w:lang w:val="en-US" w:eastAsia="sv-SE"/>
              </w:rPr>
            </w:pPr>
            <w:hyperlink r:id="rId50" w:history="1">
              <w:r w:rsidR="00423D62">
                <w:rPr>
                  <w:rStyle w:val="af3"/>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403322">
            <w:pPr>
              <w:jc w:val="left"/>
              <w:rPr>
                <w:rStyle w:val="af3"/>
                <w:color w:val="0000FF"/>
                <w:lang w:val="en-US" w:eastAsia="sv-SE"/>
              </w:rPr>
            </w:pPr>
            <w:hyperlink r:id="rId51" w:history="1">
              <w:r w:rsidR="00423D62">
                <w:rPr>
                  <w:rStyle w:val="af3"/>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403322">
            <w:pPr>
              <w:jc w:val="left"/>
              <w:rPr>
                <w:rStyle w:val="af3"/>
                <w:color w:val="0000FF"/>
                <w:lang w:val="en-US" w:eastAsia="sv-SE"/>
              </w:rPr>
            </w:pPr>
            <w:hyperlink r:id="rId52" w:history="1">
              <w:r w:rsidR="00423D62">
                <w:rPr>
                  <w:rStyle w:val="af3"/>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403322">
            <w:pPr>
              <w:jc w:val="left"/>
              <w:rPr>
                <w:rStyle w:val="af3"/>
                <w:color w:val="0000FF"/>
                <w:lang w:val="en-US" w:eastAsia="sv-SE"/>
              </w:rPr>
            </w:pPr>
            <w:hyperlink r:id="rId53" w:history="1">
              <w:r w:rsidR="00423D62">
                <w:rPr>
                  <w:rStyle w:val="af3"/>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af3"/>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403322">
            <w:pPr>
              <w:jc w:val="left"/>
              <w:rPr>
                <w:rStyle w:val="af3"/>
                <w:color w:val="0000FF"/>
                <w:lang w:val="en-US" w:eastAsia="sv-SE"/>
              </w:rPr>
            </w:pPr>
            <w:hyperlink r:id="rId55" w:history="1">
              <w:r w:rsidR="00423D62">
                <w:rPr>
                  <w:rStyle w:val="af3"/>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403322">
            <w:pPr>
              <w:jc w:val="left"/>
              <w:rPr>
                <w:rStyle w:val="af3"/>
                <w:color w:val="0000FF"/>
                <w:lang w:val="en-US" w:eastAsia="sv-SE"/>
              </w:rPr>
            </w:pPr>
            <w:hyperlink r:id="rId56" w:history="1">
              <w:r w:rsidR="00423D62">
                <w:rPr>
                  <w:rStyle w:val="af3"/>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403322">
            <w:pPr>
              <w:jc w:val="left"/>
              <w:rPr>
                <w:color w:val="000000"/>
                <w:lang w:val="en-US"/>
              </w:rPr>
            </w:pPr>
            <w:hyperlink r:id="rId57" w:history="1">
              <w:r w:rsidR="00423D62">
                <w:rPr>
                  <w:rStyle w:val="af3"/>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403322">
            <w:pPr>
              <w:jc w:val="left"/>
              <w:rPr>
                <w:color w:val="000000"/>
                <w:lang w:val="en-US"/>
              </w:rPr>
            </w:pPr>
            <w:hyperlink r:id="rId58" w:history="1">
              <w:r w:rsidR="00423D62">
                <w:rPr>
                  <w:rStyle w:val="af3"/>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403322">
            <w:pPr>
              <w:jc w:val="left"/>
              <w:rPr>
                <w:rStyle w:val="af3"/>
                <w:color w:val="0000FF"/>
              </w:rPr>
            </w:pPr>
            <w:hyperlink r:id="rId59" w:history="1">
              <w:r w:rsidR="00423D62">
                <w:rPr>
                  <w:rStyle w:val="af3"/>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403322">
            <w:pPr>
              <w:jc w:val="left"/>
            </w:pPr>
            <w:hyperlink r:id="rId60" w:history="1">
              <w:r w:rsidR="00423D62">
                <w:rPr>
                  <w:rStyle w:val="af3"/>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af3"/>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403322">
            <w:pPr>
              <w:jc w:val="left"/>
            </w:pPr>
            <w:hyperlink r:id="rId62" w:history="1">
              <w:r w:rsidR="00423D62">
                <w:rPr>
                  <w:rStyle w:val="af3"/>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af3"/>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403322">
            <w:pPr>
              <w:jc w:val="left"/>
            </w:pPr>
            <w:hyperlink r:id="rId64" w:history="1">
              <w:r w:rsidR="00423D62">
                <w:rPr>
                  <w:rStyle w:val="af3"/>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af3"/>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403322">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403322">
            <w:pPr>
              <w:jc w:val="left"/>
            </w:pPr>
            <w:hyperlink r:id="rId67" w:history="1">
              <w:r w:rsidR="00423D62">
                <w:rPr>
                  <w:rStyle w:val="af3"/>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403322">
            <w:pPr>
              <w:jc w:val="left"/>
            </w:pPr>
            <w:hyperlink r:id="rId68" w:history="1">
              <w:r w:rsidR="00423D62">
                <w:rPr>
                  <w:rStyle w:val="af3"/>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403322">
            <w:pPr>
              <w:jc w:val="left"/>
            </w:pPr>
            <w:hyperlink r:id="rId69" w:history="1">
              <w:r w:rsidR="00423D62">
                <w:rPr>
                  <w:rStyle w:val="af3"/>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2AC6" w14:textId="77777777" w:rsidR="00AE0EEB" w:rsidRDefault="00AE0EEB">
      <w:pPr>
        <w:spacing w:line="240" w:lineRule="auto"/>
      </w:pPr>
      <w:r>
        <w:separator/>
      </w:r>
    </w:p>
  </w:endnote>
  <w:endnote w:type="continuationSeparator" w:id="0">
    <w:p w14:paraId="58045988" w14:textId="77777777" w:rsidR="00AE0EEB" w:rsidRDefault="00AE0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0" w:usb1="38CF7CFA" w:usb2="00000016" w:usb3="00000000" w:csb0="0004000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Semilight"/>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1410" w14:textId="77777777" w:rsidR="00AE0EEB" w:rsidRDefault="00AE0EEB">
      <w:pPr>
        <w:spacing w:after="0" w:line="240" w:lineRule="auto"/>
      </w:pPr>
      <w:r>
        <w:separator/>
      </w:r>
    </w:p>
  </w:footnote>
  <w:footnote w:type="continuationSeparator" w:id="0">
    <w:p w14:paraId="4E7D518B" w14:textId="77777777" w:rsidR="00AE0EEB" w:rsidRDefault="00AE0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5"/>
  </w:num>
  <w:num w:numId="5">
    <w:abstractNumId w:val="33"/>
    <w:lvlOverride w:ilvl="0">
      <w:startOverride w:val="1"/>
    </w:lvlOverride>
  </w:num>
  <w:num w:numId="6">
    <w:abstractNumId w:val="34"/>
  </w:num>
  <w:num w:numId="7">
    <w:abstractNumId w:val="48"/>
  </w:num>
  <w:num w:numId="8">
    <w:abstractNumId w:val="63"/>
  </w:num>
  <w:num w:numId="9">
    <w:abstractNumId w:val="68"/>
  </w:num>
  <w:num w:numId="10">
    <w:abstractNumId w:val="50"/>
  </w:num>
  <w:num w:numId="11">
    <w:abstractNumId w:val="27"/>
  </w:num>
  <w:num w:numId="12">
    <w:abstractNumId w:val="39"/>
  </w:num>
  <w:num w:numId="13">
    <w:abstractNumId w:val="21"/>
  </w:num>
  <w:num w:numId="14">
    <w:abstractNumId w:val="55"/>
  </w:num>
  <w:num w:numId="15">
    <w:abstractNumId w:val="6"/>
  </w:num>
  <w:num w:numId="16">
    <w:abstractNumId w:val="24"/>
  </w:num>
  <w:num w:numId="17">
    <w:abstractNumId w:val="12"/>
  </w:num>
  <w:num w:numId="18">
    <w:abstractNumId w:val="23"/>
  </w:num>
  <w:num w:numId="19">
    <w:abstractNumId w:val="56"/>
  </w:num>
  <w:num w:numId="20">
    <w:abstractNumId w:val="49"/>
  </w:num>
  <w:num w:numId="21">
    <w:abstractNumId w:val="58"/>
  </w:num>
  <w:num w:numId="22">
    <w:abstractNumId w:val="40"/>
  </w:num>
  <w:num w:numId="23">
    <w:abstractNumId w:val="4"/>
  </w:num>
  <w:num w:numId="24">
    <w:abstractNumId w:val="54"/>
  </w:num>
  <w:num w:numId="25">
    <w:abstractNumId w:val="57"/>
  </w:num>
  <w:num w:numId="26">
    <w:abstractNumId w:val="45"/>
  </w:num>
  <w:num w:numId="27">
    <w:abstractNumId w:val="41"/>
  </w:num>
  <w:num w:numId="28">
    <w:abstractNumId w:val="66"/>
  </w:num>
  <w:num w:numId="29">
    <w:abstractNumId w:val="11"/>
  </w:num>
  <w:num w:numId="30">
    <w:abstractNumId w:val="1"/>
  </w:num>
  <w:num w:numId="31">
    <w:abstractNumId w:val="42"/>
  </w:num>
  <w:num w:numId="32">
    <w:abstractNumId w:val="15"/>
  </w:num>
  <w:num w:numId="33">
    <w:abstractNumId w:val="61"/>
  </w:num>
  <w:num w:numId="34">
    <w:abstractNumId w:val="22"/>
  </w:num>
  <w:num w:numId="35">
    <w:abstractNumId w:val="28"/>
  </w:num>
  <w:num w:numId="36">
    <w:abstractNumId w:val="46"/>
  </w:num>
  <w:num w:numId="37">
    <w:abstractNumId w:val="64"/>
  </w:num>
  <w:num w:numId="38">
    <w:abstractNumId w:val="31"/>
  </w:num>
  <w:num w:numId="39">
    <w:abstractNumId w:val="47"/>
  </w:num>
  <w:num w:numId="40">
    <w:abstractNumId w:val="8"/>
  </w:num>
  <w:num w:numId="41">
    <w:abstractNumId w:val="13"/>
  </w:num>
  <w:num w:numId="42">
    <w:abstractNumId w:val="52"/>
  </w:num>
  <w:num w:numId="43">
    <w:abstractNumId w:val="70"/>
  </w:num>
  <w:num w:numId="44">
    <w:abstractNumId w:val="69"/>
  </w:num>
  <w:num w:numId="45">
    <w:abstractNumId w:val="60"/>
  </w:num>
  <w:num w:numId="46">
    <w:abstractNumId w:val="5"/>
  </w:num>
  <w:num w:numId="47">
    <w:abstractNumId w:val="59"/>
  </w:num>
  <w:num w:numId="48">
    <w:abstractNumId w:val="19"/>
  </w:num>
  <w:num w:numId="49">
    <w:abstractNumId w:val="9"/>
  </w:num>
  <w:num w:numId="50">
    <w:abstractNumId w:val="67"/>
  </w:num>
  <w:num w:numId="51">
    <w:abstractNumId w:val="26"/>
  </w:num>
  <w:num w:numId="52">
    <w:abstractNumId w:val="29"/>
  </w:num>
  <w:num w:numId="53">
    <w:abstractNumId w:val="51"/>
  </w:num>
  <w:num w:numId="54">
    <w:abstractNumId w:val="38"/>
  </w:num>
  <w:num w:numId="55">
    <w:abstractNumId w:val="44"/>
  </w:num>
  <w:num w:numId="56">
    <w:abstractNumId w:val="17"/>
  </w:num>
  <w:num w:numId="57">
    <w:abstractNumId w:val="62"/>
  </w:num>
  <w:num w:numId="58">
    <w:abstractNumId w:val="30"/>
  </w:num>
  <w:num w:numId="59">
    <w:abstractNumId w:val="37"/>
  </w:num>
  <w:num w:numId="60">
    <w:abstractNumId w:val="10"/>
  </w:num>
  <w:num w:numId="61">
    <w:abstractNumId w:val="18"/>
  </w:num>
  <w:num w:numId="62">
    <w:abstractNumId w:val="35"/>
  </w:num>
  <w:num w:numId="63">
    <w:abstractNumId w:val="32"/>
  </w:num>
  <w:num w:numId="64">
    <w:abstractNumId w:val="0"/>
  </w:num>
  <w:num w:numId="65">
    <w:abstractNumId w:val="71"/>
  </w:num>
  <w:num w:numId="66">
    <w:abstractNumId w:val="43"/>
  </w:num>
  <w:num w:numId="67">
    <w:abstractNumId w:val="36"/>
  </w:num>
  <w:num w:numId="68">
    <w:abstractNumId w:val="7"/>
  </w:num>
  <w:num w:numId="69">
    <w:abstractNumId w:val="65"/>
  </w:num>
  <w:num w:numId="70">
    <w:abstractNumId w:val="14"/>
  </w:num>
  <w:num w:numId="71">
    <w:abstractNumId w:val="53"/>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41036</Words>
  <Characters>233909</Characters>
  <Application>Microsoft Office Word</Application>
  <DocSecurity>0</DocSecurity>
  <Lines>1949</Lines>
  <Paragraphs>548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2</cp:revision>
  <dcterms:created xsi:type="dcterms:W3CDTF">2023-04-25T11:25:00Z</dcterms:created>
  <dcterms:modified xsi:type="dcterms:W3CDTF">2023-04-25T11:25:00Z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