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27C29BF" w14:textId="77777777" w:rsidR="001C2401" w:rsidRDefault="00816DBE">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05A72C2" w14:textId="77777777" w:rsidR="001C2401" w:rsidRDefault="00816DBE">
            <w:pPr>
              <w:ind w:left="567" w:hanging="567"/>
              <w:jc w:val="left"/>
            </w:pPr>
            <w:r>
              <w:t xml:space="preserve">Note 2: PRB processing capability of “Rel-18 </w:t>
            </w:r>
            <w:proofErr w:type="spellStart"/>
            <w:r>
              <w:t>eRedCap</w:t>
            </w:r>
            <w:proofErr w:type="spellEnd"/>
            <w:r>
              <w:t>: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6AFF9053" w14:textId="77777777" w:rsidR="001C2401" w:rsidRDefault="00816DBE">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lastRenderedPageBreak/>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lastRenderedPageBreak/>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0C6EE27E" w14:textId="77777777" w:rsidR="001C2401" w:rsidRDefault="00816DBE">
            <w:pPr>
              <w:jc w:val="left"/>
              <w:rPr>
                <w:rFonts w:eastAsiaTheme="minorEastAsia"/>
                <w:lang w:val="en-US" w:eastAsia="zh-CN"/>
              </w:rPr>
            </w:pPr>
            <w:r>
              <w:rPr>
                <w:rFonts w:eastAsiaTheme="minorEastAsia"/>
                <w:lang w:val="en-US" w:eastAsia="zh-CN"/>
              </w:rPr>
              <w:lastRenderedPageBreak/>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lastRenderedPageBreak/>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w:t>
            </w:r>
            <w:proofErr w:type="gramStart"/>
            <w:r w:rsidRPr="00663233">
              <w:rPr>
                <w:rFonts w:eastAsia="PMingLiU"/>
                <w:lang w:val="en-US" w:eastAsia="zh-TW"/>
              </w:rPr>
              <w:t>3</w:t>
            </w:r>
            <w:proofErr w:type="gramEnd"/>
            <w:r w:rsidRPr="00663233">
              <w:rPr>
                <w:rFonts w:eastAsia="PMingLiU"/>
                <w:lang w:val="en-US" w:eastAsia="zh-TW"/>
              </w:rPr>
              <w:t xml:space="preserve">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577C8D4" w14:textId="44BBF2EE" w:rsidR="00AB5D06"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B5D06" w14:paraId="6C74EA41" w14:textId="77777777" w:rsidTr="00904494">
        <w:tc>
          <w:tcPr>
            <w:tcW w:w="1479" w:type="dxa"/>
          </w:tcPr>
          <w:p w14:paraId="7D034B82" w14:textId="23A5AE2F" w:rsidR="00AB5D06" w:rsidRDefault="00AB5D06" w:rsidP="00C7200A">
            <w:pPr>
              <w:jc w:val="left"/>
              <w:rPr>
                <w:rFonts w:eastAsiaTheme="minorEastAsia"/>
                <w:lang w:eastAsia="zh-CN"/>
              </w:rPr>
            </w:pPr>
            <w:r>
              <w:rPr>
                <w:rFonts w:eastAsiaTheme="minorEastAsia"/>
                <w:lang w:eastAsia="zh-CN"/>
              </w:rPr>
              <w:t>FUTUREWEI</w:t>
            </w:r>
          </w:p>
        </w:tc>
        <w:tc>
          <w:tcPr>
            <w:tcW w:w="1372" w:type="dxa"/>
          </w:tcPr>
          <w:p w14:paraId="0274B184" w14:textId="3FEC1944" w:rsidR="00AB5D06" w:rsidRDefault="00AB5D06"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1CACF06" w14:textId="266E9C79" w:rsidR="00AB5D06" w:rsidRDefault="00AB5D06" w:rsidP="00C7200A">
            <w:pPr>
              <w:jc w:val="left"/>
              <w:rPr>
                <w:rFonts w:eastAsiaTheme="minorEastAsia"/>
                <w:lang w:val="en-US" w:eastAsia="zh-CN"/>
              </w:rPr>
            </w:pPr>
            <w:r w:rsidRPr="00AB5D06">
              <w:rPr>
                <w:rFonts w:eastAsiaTheme="minorEastAsia"/>
                <w:lang w:val="en-US" w:eastAsia="zh-CN"/>
              </w:rPr>
              <w:t>Th</w:t>
            </w:r>
            <w:r>
              <w:rPr>
                <w:rFonts w:eastAsiaTheme="minorEastAsia"/>
                <w:lang w:val="en-US" w:eastAsia="zh-CN"/>
              </w:rPr>
              <w:t>is option</w:t>
            </w:r>
            <w:r w:rsidRPr="00AB5D06">
              <w:rPr>
                <w:rFonts w:eastAsiaTheme="minorEastAsia"/>
                <w:lang w:val="en-US" w:eastAsia="zh-CN"/>
              </w:rPr>
              <w:t xml:space="preserve"> is a compromise that still allows </w:t>
            </w:r>
            <w:r>
              <w:rPr>
                <w:rFonts w:eastAsiaTheme="minorEastAsia"/>
                <w:lang w:val="en-US" w:eastAsia="zh-CN"/>
              </w:rPr>
              <w:t xml:space="preserve">substantial </w:t>
            </w:r>
            <w:r w:rsidRPr="00AB5D06">
              <w:rPr>
                <w:rFonts w:eastAsiaTheme="minorEastAsia"/>
                <w:lang w:val="en-US" w:eastAsia="zh-CN"/>
              </w:rPr>
              <w:t>use of the default TDRA tables while allowing the network to use Msg1 EI as needed.</w:t>
            </w: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lastRenderedPageBreak/>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lastRenderedPageBreak/>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gNB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 xml:space="preserve">If the PDSCH conveying RAR messages to Rel-17 RedCap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RedCap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lastRenderedPageBreak/>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lastRenderedPageBreak/>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 xml:space="preserve">Note 4: The initial access procedure of Rel-18 </w:t>
                  </w:r>
                  <w:proofErr w:type="spellStart"/>
                  <w:r>
                    <w:t>eRedCap</w:t>
                  </w:r>
                  <w:proofErr w:type="spellEnd"/>
                  <w:r>
                    <w:t xml:space="preserve">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 xml:space="preserve">Note 4: The initial access procedure of Rel-18 </w:t>
            </w:r>
            <w:proofErr w:type="spellStart"/>
            <w:r w:rsidRPr="00711691">
              <w:rPr>
                <w:i/>
                <w:iCs/>
                <w:sz w:val="22"/>
                <w:szCs w:val="24"/>
              </w:rPr>
              <w:t>eRedCap</w:t>
            </w:r>
            <w:proofErr w:type="spellEnd"/>
            <w:r w:rsidRPr="00711691">
              <w:rPr>
                <w:i/>
                <w:iCs/>
                <w:sz w:val="22"/>
                <w:szCs w:val="24"/>
              </w:rPr>
              <w:t xml:space="preserve">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 xml:space="preserve">Same as Rel-18 </w:t>
            </w:r>
            <w:proofErr w:type="spellStart"/>
            <w:r w:rsidRPr="00711691">
              <w:rPr>
                <w:i/>
                <w:iCs/>
              </w:rPr>
              <w:t>eRedCap</w:t>
            </w:r>
            <w:proofErr w:type="spellEnd"/>
            <w:r w:rsidRPr="00711691">
              <w:rPr>
                <w:i/>
                <w:iCs/>
              </w:rPr>
              <w:t xml:space="preserve"> UE capable of BW3/PR3 + PR1</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RedCap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w:t>
      </w:r>
      <w:proofErr w:type="spellStart"/>
      <w:r>
        <w:rPr>
          <w:bCs/>
          <w:lang w:val="en-US"/>
        </w:rPr>
        <w:t>eRedCap</w:t>
      </w:r>
      <w:proofErr w:type="spellEnd"/>
      <w:r>
        <w:rPr>
          <w:bCs/>
          <w:lang w:val="en-US"/>
        </w:rPr>
        <w:t xml:space="preserve">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w:t>
            </w:r>
            <w:r>
              <w:rPr>
                <w:rFonts w:eastAsia="Yu Mincho"/>
                <w:lang w:val="en-US" w:eastAsia="ja-JP"/>
              </w:rPr>
              <w:lastRenderedPageBreak/>
              <w:t>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lastRenderedPageBreak/>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lastRenderedPageBreak/>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lang w:val="en-US" w:eastAsia="zh-CN"/>
              </w:rPr>
            </w:pPr>
          </w:p>
          <w:p w14:paraId="1E8DCA84" w14:textId="616710C0" w:rsidR="00FE6561" w:rsidRPr="00926794" w:rsidRDefault="00FE6561" w:rsidP="00926794">
            <w:pPr>
              <w:pStyle w:val="ListParagraph"/>
              <w:numPr>
                <w:ilvl w:val="0"/>
                <w:numId w:val="51"/>
              </w:numPr>
              <w:jc w:val="left"/>
              <w:rPr>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lang w:val="en-US" w:eastAsia="zh-CN"/>
              </w:rPr>
            </w:pPr>
            <w:r>
              <w:rPr>
                <w:rFonts w:eastAsiaTheme="minorEastAsia"/>
                <w:lang w:val="en-US" w:eastAsia="zh-CN"/>
              </w:rPr>
              <w:t>Intel2</w:t>
            </w:r>
          </w:p>
        </w:tc>
        <w:tc>
          <w:tcPr>
            <w:tcW w:w="1372" w:type="dxa"/>
          </w:tcPr>
          <w:p w14:paraId="18AC8AD8"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lastRenderedPageBreak/>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lastRenderedPageBreak/>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gNB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92.25pt" o:ole="">
                  <v:imagedata r:id="rId17" o:title=""/>
                </v:shape>
                <o:OLEObject Type="Embed" ProgID="Visio.Drawing.15" ShapeID="_x0000_i1025" DrawAspect="Content" ObjectID="_1743326404"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lastRenderedPageBreak/>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4pt;height:92.25pt" o:ole="">
                  <v:imagedata r:id="rId17" o:title=""/>
                </v:shape>
                <o:OLEObject Type="Embed" ProgID="Visio.Drawing.15" ShapeID="_x0000_i1026" DrawAspect="Content" ObjectID="_1743326405" r:id="rId20"/>
              </w:object>
            </w:r>
          </w:p>
        </w:tc>
      </w:tr>
      <w:tr w:rsidR="00BC633D" w14:paraId="4A94D3EC" w14:textId="77777777" w:rsidTr="00904494">
        <w:tc>
          <w:tcPr>
            <w:tcW w:w="1479" w:type="dxa"/>
          </w:tcPr>
          <w:p w14:paraId="34C6E63B" w14:textId="0B009E1A" w:rsidR="00BC633D" w:rsidRDefault="00BC633D" w:rsidP="00C7200A">
            <w:pPr>
              <w:jc w:val="left"/>
              <w:rPr>
                <w:rFonts w:eastAsiaTheme="minorEastAsia"/>
                <w:lang w:val="en-US" w:eastAsia="zh-CN"/>
              </w:rPr>
            </w:pPr>
            <w:r>
              <w:rPr>
                <w:rFonts w:eastAsiaTheme="minorEastAsia"/>
                <w:lang w:val="en-US" w:eastAsia="zh-CN"/>
              </w:rPr>
              <w:t>FUTUREWEI</w:t>
            </w:r>
          </w:p>
        </w:tc>
        <w:tc>
          <w:tcPr>
            <w:tcW w:w="1372" w:type="dxa"/>
          </w:tcPr>
          <w:p w14:paraId="4D7B34EF" w14:textId="77777777" w:rsidR="00BC633D" w:rsidRDefault="00BC633D" w:rsidP="00C7200A">
            <w:pPr>
              <w:tabs>
                <w:tab w:val="left" w:pos="551"/>
              </w:tabs>
              <w:jc w:val="left"/>
              <w:rPr>
                <w:rFonts w:eastAsiaTheme="minorEastAsia"/>
                <w:lang w:val="en-US" w:eastAsia="zh-CN"/>
              </w:rPr>
            </w:pPr>
          </w:p>
        </w:tc>
        <w:tc>
          <w:tcPr>
            <w:tcW w:w="6780" w:type="dxa"/>
          </w:tcPr>
          <w:p w14:paraId="0AAA83F4" w14:textId="40229D7D" w:rsidR="00BC633D" w:rsidRDefault="003417F8" w:rsidP="00C7200A">
            <w:pPr>
              <w:jc w:val="left"/>
              <w:rPr>
                <w:rFonts w:eastAsiaTheme="minorEastAsia"/>
                <w:lang w:val="en-US" w:eastAsia="zh-CN"/>
              </w:rPr>
            </w:pPr>
            <w:bookmarkStart w:id="6" w:name="_Hlk132710208"/>
            <w:bookmarkStart w:id="7" w:name="_Hlk132711491"/>
            <w:r>
              <w:rPr>
                <w:rFonts w:eastAsiaTheme="minorEastAsia"/>
                <w:lang w:val="en-US" w:eastAsia="zh-CN"/>
              </w:rPr>
              <w:t>The</w:t>
            </w:r>
            <w:r w:rsidR="00BC633D">
              <w:rPr>
                <w:rFonts w:eastAsiaTheme="minorEastAsia"/>
                <w:lang w:val="en-US" w:eastAsia="zh-CN"/>
              </w:rPr>
              <w:t xml:space="preserve"> conclusion proposed by </w:t>
            </w:r>
            <w:proofErr w:type="spellStart"/>
            <w:r w:rsidR="00BC633D">
              <w:rPr>
                <w:rFonts w:eastAsiaTheme="minorEastAsia"/>
                <w:lang w:val="en-US" w:eastAsia="zh-CN"/>
              </w:rPr>
              <w:t>Spreadtrum</w:t>
            </w:r>
            <w:proofErr w:type="spellEnd"/>
            <w:r w:rsidR="00BC633D">
              <w:rPr>
                <w:rFonts w:eastAsiaTheme="minorEastAsia"/>
                <w:lang w:val="en-US" w:eastAsia="zh-CN"/>
              </w:rPr>
              <w:t xml:space="preserve"> seems reasonable</w:t>
            </w:r>
            <w:bookmarkEnd w:id="6"/>
            <w:r w:rsidR="00BC633D">
              <w:rPr>
                <w:rFonts w:eastAsiaTheme="minorEastAsia"/>
                <w:lang w:val="en-US" w:eastAsia="zh-CN"/>
              </w:rPr>
              <w:t>.</w:t>
            </w:r>
            <w:bookmarkEnd w:id="7"/>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lastRenderedPageBreak/>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Yu Mincho" w:hAnsi="Times New Roman" w:cs="Times New Roman"/>
                <w:sz w:val="20"/>
                <w:szCs w:val="20"/>
                <w:lang w:val="en-US"/>
              </w:rPr>
              <w:lastRenderedPageBreak/>
              <w:t xml:space="preserve">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lastRenderedPageBreak/>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BC633D" w14:paraId="69192660" w14:textId="77777777" w:rsidTr="00904494">
        <w:tc>
          <w:tcPr>
            <w:tcW w:w="1479" w:type="dxa"/>
          </w:tcPr>
          <w:p w14:paraId="20D2BB6D" w14:textId="31BE0F2F" w:rsidR="00BC633D" w:rsidRDefault="00BC633D" w:rsidP="00C7200A">
            <w:pPr>
              <w:jc w:val="left"/>
              <w:rPr>
                <w:rFonts w:eastAsiaTheme="minorEastAsia"/>
                <w:lang w:val="en-US" w:eastAsia="zh-CN"/>
              </w:rPr>
            </w:pPr>
            <w:r>
              <w:rPr>
                <w:rFonts w:eastAsiaTheme="minorEastAsia"/>
                <w:lang w:val="en-US" w:eastAsia="zh-CN"/>
              </w:rPr>
              <w:t>FUTUREWEI</w:t>
            </w:r>
          </w:p>
        </w:tc>
        <w:tc>
          <w:tcPr>
            <w:tcW w:w="1464" w:type="dxa"/>
          </w:tcPr>
          <w:p w14:paraId="4F6D076F" w14:textId="380B8A18" w:rsidR="00BC633D" w:rsidRDefault="00BC633D"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03B5B28B" w14:textId="77777777" w:rsidR="00BC633D" w:rsidRDefault="003417F8" w:rsidP="00C7200A">
            <w:pPr>
              <w:jc w:val="left"/>
              <w:rPr>
                <w:rFonts w:eastAsiaTheme="minorEastAsia"/>
                <w:lang w:val="en-US" w:eastAsia="zh-CN"/>
              </w:rPr>
            </w:pPr>
            <w:r w:rsidRPr="003417F8">
              <w:rPr>
                <w:rFonts w:eastAsiaTheme="minorEastAsia"/>
                <w:lang w:val="en-US" w:eastAsia="zh-CN"/>
              </w:rPr>
              <w:t>256</w:t>
            </w:r>
            <w:r>
              <w:rPr>
                <w:rFonts w:eastAsiaTheme="minorEastAsia"/>
                <w:lang w:val="en-US" w:eastAsia="zh-CN"/>
              </w:rPr>
              <w:t>QAM</w:t>
            </w:r>
            <w:r w:rsidRPr="003417F8">
              <w:rPr>
                <w:rFonts w:eastAsiaTheme="minorEastAsia"/>
                <w:lang w:val="en-US" w:eastAsia="zh-CN"/>
              </w:rPr>
              <w:t xml:space="preserve"> and other data rate increasing optional capabilities are available by default</w:t>
            </w:r>
            <w:r>
              <w:rPr>
                <w:rFonts w:eastAsiaTheme="minorEastAsia"/>
                <w:lang w:val="en-US" w:eastAsia="zh-CN"/>
              </w:rPr>
              <w:t xml:space="preserve"> as noted in the WID</w:t>
            </w:r>
          </w:p>
          <w:p w14:paraId="24C30810" w14:textId="25CFD6DB" w:rsidR="003417F8" w:rsidRDefault="003417F8" w:rsidP="00C7200A">
            <w:pPr>
              <w:jc w:val="left"/>
              <w:rPr>
                <w:rFonts w:eastAsiaTheme="minorEastAsia"/>
                <w:lang w:val="en-US" w:eastAsia="zh-CN"/>
              </w:rPr>
            </w:pPr>
            <w:r>
              <w:rPr>
                <w:rFonts w:eastAsiaTheme="minorEastAsia"/>
                <w:lang w:val="en-US" w:eastAsia="zh-CN"/>
              </w:rPr>
              <w:t>“</w:t>
            </w:r>
            <w:r w:rsidRPr="003417F8">
              <w:rPr>
                <w:rFonts w:eastAsiaTheme="minorEastAsia"/>
                <w:lang w:val="en-US" w:eastAsia="zh-CN"/>
              </w:rPr>
              <w:t xml:space="preserve">The existing UE capability framework is used, and changes to capability </w:t>
            </w:r>
            <w:proofErr w:type="spellStart"/>
            <w:r w:rsidRPr="003417F8">
              <w:rPr>
                <w:rFonts w:eastAsiaTheme="minorEastAsia"/>
                <w:lang w:val="en-US" w:eastAsia="zh-CN"/>
              </w:rPr>
              <w:t>signalling</w:t>
            </w:r>
            <w:proofErr w:type="spellEnd"/>
            <w:r w:rsidRPr="003417F8">
              <w:rPr>
                <w:rFonts w:eastAsiaTheme="minorEastAsia"/>
                <w:lang w:val="en-US" w:eastAsia="zh-CN"/>
              </w:rPr>
              <w:t xml:space="preserve"> are specified only if necessary. By default, all UE capabilities applicable to a Rel-17 RedCap UE are applicable unless otherwise specified.</w:t>
            </w:r>
            <w:r>
              <w:rPr>
                <w:rFonts w:eastAsiaTheme="minorEastAsia"/>
                <w:lang w:val="en-US" w:eastAsia="zh-CN"/>
              </w:rPr>
              <w:t>”</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lastRenderedPageBreak/>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lastRenderedPageBreak/>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r w:rsidR="00064AF5" w14:paraId="1BA03CB5" w14:textId="77777777" w:rsidTr="00904494">
        <w:tc>
          <w:tcPr>
            <w:tcW w:w="1479" w:type="dxa"/>
          </w:tcPr>
          <w:p w14:paraId="08B7B2E7" w14:textId="317250D3"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A56F58E" w14:textId="77777777" w:rsidR="00064AF5" w:rsidRDefault="00064AF5" w:rsidP="00C7200A">
            <w:pPr>
              <w:tabs>
                <w:tab w:val="left" w:pos="551"/>
              </w:tabs>
              <w:jc w:val="left"/>
              <w:rPr>
                <w:rFonts w:eastAsiaTheme="minorEastAsia"/>
                <w:lang w:val="en-US" w:eastAsia="zh-CN"/>
              </w:rPr>
            </w:pPr>
          </w:p>
        </w:tc>
        <w:tc>
          <w:tcPr>
            <w:tcW w:w="6688" w:type="dxa"/>
          </w:tcPr>
          <w:p w14:paraId="4516ED73" w14:textId="355EE205" w:rsidR="00064AF5" w:rsidRDefault="00064AF5" w:rsidP="00C7200A">
            <w:pPr>
              <w:jc w:val="left"/>
              <w:rPr>
                <w:rFonts w:eastAsiaTheme="minorEastAsia"/>
                <w:lang w:val="en-US" w:eastAsia="zh-CN"/>
              </w:rPr>
            </w:pPr>
            <w:r>
              <w:rPr>
                <w:rFonts w:eastAsiaTheme="minorEastAsia"/>
                <w:lang w:val="en-US" w:eastAsia="zh-CN"/>
              </w:rPr>
              <w:t>Can accept</w:t>
            </w: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lastRenderedPageBreak/>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r w:rsidR="00064AF5" w14:paraId="632C5C7F" w14:textId="77777777" w:rsidTr="00904494">
        <w:tc>
          <w:tcPr>
            <w:tcW w:w="1479" w:type="dxa"/>
          </w:tcPr>
          <w:p w14:paraId="34C85A29" w14:textId="09936A26"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537AC9E" w14:textId="4EA6C3CD" w:rsidR="00064AF5" w:rsidRDefault="00064AF5"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43E5D515" w14:textId="77777777" w:rsidR="00064AF5" w:rsidRDefault="00064AF5" w:rsidP="00C7200A">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lastRenderedPageBreak/>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9"/>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000000">
            <w:pPr>
              <w:jc w:val="left"/>
              <w:rPr>
                <w:color w:val="0000FF"/>
                <w:u w:val="single"/>
                <w:lang w:val="en-US"/>
              </w:rPr>
            </w:pPr>
            <w:hyperlink r:id="rId22"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000000">
            <w:pPr>
              <w:jc w:val="left"/>
              <w:rPr>
                <w:rFonts w:eastAsia="Calibri"/>
                <w:color w:val="0000FF"/>
                <w:u w:val="single"/>
                <w:lang w:val="en-US"/>
              </w:rPr>
            </w:pPr>
            <w:hyperlink r:id="rId23"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000000">
            <w:pPr>
              <w:jc w:val="left"/>
              <w:rPr>
                <w:rStyle w:val="Hyperlink"/>
                <w:color w:val="0000FF"/>
              </w:rPr>
            </w:pPr>
            <w:hyperlink r:id="rId24"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000000">
            <w:pPr>
              <w:jc w:val="left"/>
              <w:rPr>
                <w:rStyle w:val="Hyperlink"/>
                <w:color w:val="0000FF"/>
              </w:rPr>
            </w:pPr>
            <w:hyperlink r:id="rId25"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000000">
            <w:pPr>
              <w:jc w:val="left"/>
              <w:rPr>
                <w:rStyle w:val="Hyperlink"/>
                <w:color w:val="0000FF"/>
              </w:rPr>
            </w:pPr>
            <w:hyperlink r:id="rId26"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000000">
            <w:pPr>
              <w:jc w:val="left"/>
              <w:rPr>
                <w:rStyle w:val="Hyperlink"/>
                <w:color w:val="0000FF"/>
              </w:rPr>
            </w:pPr>
            <w:hyperlink r:id="rId27"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000000">
            <w:pPr>
              <w:jc w:val="left"/>
              <w:rPr>
                <w:rStyle w:val="Hyperlink"/>
                <w:color w:val="0000FF"/>
                <w:lang w:val="en-US" w:eastAsia="sv-SE"/>
              </w:rPr>
            </w:pPr>
            <w:hyperlink r:id="rId28"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000000">
            <w:pPr>
              <w:jc w:val="left"/>
              <w:rPr>
                <w:rStyle w:val="Hyperlink"/>
                <w:color w:val="0000FF"/>
                <w:lang w:val="en-US" w:eastAsia="sv-SE"/>
              </w:rPr>
            </w:pPr>
            <w:hyperlink r:id="rId29"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000000">
            <w:pPr>
              <w:jc w:val="left"/>
              <w:rPr>
                <w:rStyle w:val="Hyperlink"/>
                <w:color w:val="0000FF"/>
                <w:lang w:val="en-US" w:eastAsia="sv-SE"/>
              </w:rPr>
            </w:pPr>
            <w:hyperlink r:id="rId30"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000000">
            <w:pPr>
              <w:jc w:val="left"/>
              <w:rPr>
                <w:rStyle w:val="Hyperlink"/>
                <w:color w:val="0000FF"/>
                <w:lang w:val="en-US" w:eastAsia="sv-SE"/>
              </w:rPr>
            </w:pPr>
            <w:hyperlink r:id="rId31"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000000">
            <w:pPr>
              <w:jc w:val="left"/>
              <w:rPr>
                <w:rStyle w:val="Hyperlink"/>
                <w:color w:val="0000FF"/>
                <w:lang w:val="en-US" w:eastAsia="sv-SE"/>
              </w:rPr>
            </w:pPr>
            <w:hyperlink r:id="rId32"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lastRenderedPageBreak/>
              <w:t>[12]</w:t>
            </w:r>
          </w:p>
        </w:tc>
        <w:tc>
          <w:tcPr>
            <w:tcW w:w="1456" w:type="dxa"/>
            <w:tcMar>
              <w:top w:w="0" w:type="dxa"/>
              <w:left w:w="70" w:type="dxa"/>
              <w:bottom w:w="0" w:type="dxa"/>
              <w:right w:w="70" w:type="dxa"/>
            </w:tcMar>
          </w:tcPr>
          <w:p w14:paraId="14098FB6" w14:textId="77777777" w:rsidR="001C2401" w:rsidRDefault="00000000">
            <w:pPr>
              <w:jc w:val="left"/>
              <w:rPr>
                <w:rStyle w:val="Hyperlink"/>
                <w:color w:val="0000FF"/>
                <w:lang w:val="en-US" w:eastAsia="sv-SE"/>
              </w:rPr>
            </w:pPr>
            <w:hyperlink r:id="rId33"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000000">
            <w:pPr>
              <w:jc w:val="left"/>
              <w:rPr>
                <w:rStyle w:val="Hyperlink"/>
                <w:color w:val="0000FF"/>
                <w:lang w:val="en-US" w:eastAsia="sv-SE"/>
              </w:rPr>
            </w:pPr>
            <w:hyperlink r:id="rId34"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000000">
            <w:pPr>
              <w:jc w:val="left"/>
              <w:rPr>
                <w:rStyle w:val="Hyperlink"/>
                <w:color w:val="0000FF"/>
                <w:lang w:val="en-US" w:eastAsia="sv-SE"/>
              </w:rPr>
            </w:pPr>
            <w:hyperlink r:id="rId35"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000000">
            <w:pPr>
              <w:jc w:val="left"/>
              <w:rPr>
                <w:rStyle w:val="Hyperlink"/>
                <w:color w:val="0000FF"/>
                <w:lang w:val="en-US" w:eastAsia="sv-SE"/>
              </w:rPr>
            </w:pPr>
            <w:hyperlink r:id="rId36"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000000">
            <w:pPr>
              <w:jc w:val="left"/>
              <w:rPr>
                <w:rStyle w:val="Hyperlink"/>
                <w:color w:val="0000FF"/>
                <w:lang w:val="en-US" w:eastAsia="sv-SE"/>
              </w:rPr>
            </w:pPr>
            <w:hyperlink r:id="rId37"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000000">
            <w:pPr>
              <w:jc w:val="left"/>
              <w:rPr>
                <w:rStyle w:val="Hyperlink"/>
                <w:color w:val="0000FF"/>
                <w:lang w:val="en-US" w:eastAsia="sv-SE"/>
              </w:rPr>
            </w:pPr>
            <w:hyperlink r:id="rId38"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000000">
            <w:pPr>
              <w:jc w:val="left"/>
              <w:rPr>
                <w:rStyle w:val="Hyperlink"/>
                <w:color w:val="0000FF"/>
                <w:lang w:val="en-US" w:eastAsia="sv-SE"/>
              </w:rPr>
            </w:pPr>
            <w:hyperlink r:id="rId39"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000000">
            <w:pPr>
              <w:jc w:val="left"/>
              <w:rPr>
                <w:rStyle w:val="Hyperlink"/>
                <w:color w:val="0000FF"/>
                <w:lang w:val="en-US" w:eastAsia="sv-SE"/>
              </w:rPr>
            </w:pPr>
            <w:hyperlink r:id="rId40"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000000">
            <w:pPr>
              <w:jc w:val="left"/>
              <w:rPr>
                <w:rStyle w:val="Hyperlink"/>
                <w:color w:val="0000FF"/>
                <w:lang w:val="en-US" w:eastAsia="sv-SE"/>
              </w:rPr>
            </w:pPr>
            <w:hyperlink r:id="rId41"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000000">
            <w:pPr>
              <w:jc w:val="left"/>
              <w:rPr>
                <w:rStyle w:val="Hyperlink"/>
                <w:color w:val="0000FF"/>
                <w:lang w:val="en-US" w:eastAsia="sv-SE"/>
              </w:rPr>
            </w:pPr>
            <w:hyperlink r:id="rId42"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000000">
            <w:pPr>
              <w:jc w:val="left"/>
              <w:rPr>
                <w:rStyle w:val="Hyperlink"/>
                <w:color w:val="0000FF"/>
                <w:lang w:val="en-US" w:eastAsia="sv-SE"/>
              </w:rPr>
            </w:pPr>
            <w:hyperlink r:id="rId43"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000000">
            <w:pPr>
              <w:jc w:val="left"/>
              <w:rPr>
                <w:rStyle w:val="Hyperlink"/>
                <w:color w:val="0000FF"/>
                <w:lang w:val="en-US" w:eastAsia="sv-SE"/>
              </w:rPr>
            </w:pPr>
            <w:hyperlink r:id="rId44"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000000">
            <w:pPr>
              <w:jc w:val="left"/>
              <w:rPr>
                <w:rStyle w:val="Hyperlink"/>
                <w:color w:val="0000FF"/>
                <w:lang w:val="en-US" w:eastAsia="sv-SE"/>
              </w:rPr>
            </w:pPr>
            <w:hyperlink r:id="rId45"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t>[25]</w:t>
            </w:r>
          </w:p>
        </w:tc>
        <w:tc>
          <w:tcPr>
            <w:tcW w:w="1456" w:type="dxa"/>
            <w:tcMar>
              <w:top w:w="0" w:type="dxa"/>
              <w:left w:w="70" w:type="dxa"/>
              <w:bottom w:w="0" w:type="dxa"/>
              <w:right w:w="70" w:type="dxa"/>
            </w:tcMar>
          </w:tcPr>
          <w:p w14:paraId="2C622FF6" w14:textId="77777777" w:rsidR="001C2401" w:rsidRDefault="00000000">
            <w:pPr>
              <w:jc w:val="left"/>
              <w:rPr>
                <w:rStyle w:val="Hyperlink"/>
                <w:color w:val="0000FF"/>
                <w:lang w:val="en-US" w:eastAsia="sv-SE"/>
              </w:rPr>
            </w:pPr>
            <w:hyperlink r:id="rId46"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000000">
            <w:pPr>
              <w:jc w:val="left"/>
              <w:rPr>
                <w:rStyle w:val="Hyperlink"/>
                <w:color w:val="0000FF"/>
                <w:lang w:val="en-US" w:eastAsia="sv-SE"/>
              </w:rPr>
            </w:pPr>
            <w:hyperlink r:id="rId47"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000000">
            <w:pPr>
              <w:jc w:val="left"/>
              <w:rPr>
                <w:rStyle w:val="Hyperlink"/>
                <w:color w:val="0000FF"/>
                <w:lang w:val="en-US" w:eastAsia="sv-SE"/>
              </w:rPr>
            </w:pPr>
            <w:hyperlink r:id="rId48"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000000">
            <w:pPr>
              <w:jc w:val="left"/>
              <w:rPr>
                <w:rStyle w:val="Hyperlink"/>
                <w:color w:val="0000FF"/>
                <w:lang w:val="en-US" w:eastAsia="sv-SE"/>
              </w:rPr>
            </w:pPr>
            <w:hyperlink r:id="rId49"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000000">
            <w:pPr>
              <w:jc w:val="left"/>
              <w:rPr>
                <w:rStyle w:val="Hyperlink"/>
                <w:color w:val="0000FF"/>
                <w:lang w:val="en-US" w:eastAsia="sv-SE"/>
              </w:rPr>
            </w:pPr>
            <w:hyperlink r:id="rId50"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000000">
            <w:pPr>
              <w:jc w:val="left"/>
              <w:rPr>
                <w:rStyle w:val="Hyperlink"/>
                <w:color w:val="0000FF"/>
                <w:lang w:val="en-US" w:eastAsia="sv-SE"/>
              </w:rPr>
            </w:pPr>
            <w:hyperlink r:id="rId51"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000000">
            <w:pPr>
              <w:jc w:val="left"/>
              <w:rPr>
                <w:rStyle w:val="Hyperlink"/>
                <w:color w:val="0000FF"/>
                <w:lang w:val="en-US" w:eastAsia="sv-SE"/>
              </w:rPr>
            </w:pPr>
            <w:hyperlink r:id="rId53"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000000">
            <w:pPr>
              <w:jc w:val="left"/>
              <w:rPr>
                <w:rStyle w:val="Hyperlink"/>
                <w:color w:val="0000FF"/>
                <w:lang w:val="en-US" w:eastAsia="sv-SE"/>
              </w:rPr>
            </w:pPr>
            <w:hyperlink r:id="rId54"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000000">
            <w:pPr>
              <w:jc w:val="left"/>
              <w:rPr>
                <w:color w:val="000000"/>
                <w:lang w:val="en-US"/>
              </w:rPr>
            </w:pPr>
            <w:hyperlink r:id="rId55"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000000">
            <w:pPr>
              <w:jc w:val="left"/>
              <w:rPr>
                <w:color w:val="000000"/>
                <w:lang w:val="en-US"/>
              </w:rPr>
            </w:pPr>
            <w:hyperlink r:id="rId56"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000000">
            <w:pPr>
              <w:jc w:val="left"/>
              <w:rPr>
                <w:rStyle w:val="Hyperlink"/>
                <w:color w:val="0000FF"/>
              </w:rPr>
            </w:pPr>
            <w:hyperlink r:id="rId57"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000000">
            <w:pPr>
              <w:jc w:val="left"/>
            </w:pPr>
            <w:hyperlink r:id="rId58"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000000">
            <w:pPr>
              <w:jc w:val="left"/>
            </w:pPr>
            <w:hyperlink r:id="rId60"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7D523F8C" w14:textId="77777777" w:rsidR="001C2401" w:rsidRDefault="00000000">
            <w:pPr>
              <w:jc w:val="left"/>
            </w:pPr>
            <w:hyperlink r:id="rId62"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000000">
            <w:pPr>
              <w:jc w:val="left"/>
            </w:pPr>
            <w:hyperlink r:id="rId64"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000000">
            <w:pPr>
              <w:jc w:val="left"/>
            </w:pPr>
            <w:hyperlink r:id="rId65" w:history="1">
              <w:r w:rsidR="00816DBE">
                <w:rPr>
                  <w:rStyle w:val="Hyperlink"/>
                  <w:color w:val="0000FF"/>
                </w:rPr>
                <w:t>R1-2303933</w:t>
              </w:r>
            </w:hyperlink>
            <w:r w:rsidR="00816DBE">
              <w:br/>
              <w:t>(</w:t>
            </w:r>
            <w:hyperlink r:id="rId66"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E3E2" w14:textId="77777777" w:rsidR="008F2E6D" w:rsidRDefault="008F2E6D" w:rsidP="005F4750">
      <w:pPr>
        <w:spacing w:after="0" w:line="240" w:lineRule="auto"/>
      </w:pPr>
      <w:r>
        <w:separator/>
      </w:r>
    </w:p>
  </w:endnote>
  <w:endnote w:type="continuationSeparator" w:id="0">
    <w:p w14:paraId="43B0E024" w14:textId="77777777" w:rsidR="008F2E6D" w:rsidRDefault="008F2E6D"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11DA" w14:textId="77777777" w:rsidR="008F2E6D" w:rsidRDefault="008F2E6D" w:rsidP="005F4750">
      <w:pPr>
        <w:spacing w:after="0" w:line="240" w:lineRule="auto"/>
      </w:pPr>
      <w:r>
        <w:separator/>
      </w:r>
    </w:p>
  </w:footnote>
  <w:footnote w:type="continuationSeparator" w:id="0">
    <w:p w14:paraId="61ED26D8" w14:textId="77777777" w:rsidR="008F2E6D" w:rsidRDefault="008F2E6D"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95710522">
    <w:abstractNumId w:val="6"/>
  </w:num>
  <w:num w:numId="2" w16cid:durableId="1433745141">
    <w:abstractNumId w:val="15"/>
  </w:num>
  <w:num w:numId="3" w16cid:durableId="1538082532">
    <w:abstractNumId w:val="1"/>
  </w:num>
  <w:num w:numId="4" w16cid:durableId="1627546405">
    <w:abstractNumId w:val="0"/>
  </w:num>
  <w:num w:numId="5" w16cid:durableId="1845709127">
    <w:abstractNumId w:val="19"/>
  </w:num>
  <w:num w:numId="6" w16cid:durableId="1277641664">
    <w:abstractNumId w:val="24"/>
    <w:lvlOverride w:ilvl="0">
      <w:startOverride w:val="1"/>
    </w:lvlOverride>
  </w:num>
  <w:num w:numId="7" w16cid:durableId="801966718">
    <w:abstractNumId w:val="25"/>
  </w:num>
  <w:num w:numId="8" w16cid:durableId="2059432230">
    <w:abstractNumId w:val="33"/>
  </w:num>
  <w:num w:numId="9" w16cid:durableId="1591162331">
    <w:abstractNumId w:val="45"/>
  </w:num>
  <w:num w:numId="10" w16cid:durableId="1256129977">
    <w:abstractNumId w:val="47"/>
  </w:num>
  <w:num w:numId="11" w16cid:durableId="1790665829">
    <w:abstractNumId w:val="35"/>
  </w:num>
  <w:num w:numId="12" w16cid:durableId="672799510">
    <w:abstractNumId w:val="21"/>
  </w:num>
  <w:num w:numId="13" w16cid:durableId="884488531">
    <w:abstractNumId w:val="28"/>
  </w:num>
  <w:num w:numId="14" w16cid:durableId="820461389">
    <w:abstractNumId w:val="16"/>
  </w:num>
  <w:num w:numId="15" w16cid:durableId="363214626">
    <w:abstractNumId w:val="38"/>
  </w:num>
  <w:num w:numId="16" w16cid:durableId="486243937">
    <w:abstractNumId w:val="3"/>
  </w:num>
  <w:num w:numId="17" w16cid:durableId="90246426">
    <w:abstractNumId w:val="18"/>
  </w:num>
  <w:num w:numId="18" w16cid:durableId="93480858">
    <w:abstractNumId w:val="9"/>
  </w:num>
  <w:num w:numId="19" w16cid:durableId="1208881962">
    <w:abstractNumId w:val="17"/>
  </w:num>
  <w:num w:numId="20" w16cid:durableId="550388805">
    <w:abstractNumId w:val="39"/>
  </w:num>
  <w:num w:numId="21" w16cid:durableId="1267470219">
    <w:abstractNumId w:val="34"/>
  </w:num>
  <w:num w:numId="22" w16cid:durableId="1720782006">
    <w:abstractNumId w:val="41"/>
  </w:num>
  <w:num w:numId="23" w16cid:durableId="995689751">
    <w:abstractNumId w:val="29"/>
  </w:num>
  <w:num w:numId="24" w16cid:durableId="360517244">
    <w:abstractNumId w:val="2"/>
  </w:num>
  <w:num w:numId="25" w16cid:durableId="524252800">
    <w:abstractNumId w:val="37"/>
  </w:num>
  <w:num w:numId="26" w16cid:durableId="67119027">
    <w:abstractNumId w:val="40"/>
  </w:num>
  <w:num w:numId="27" w16cid:durableId="585185794">
    <w:abstractNumId w:val="31"/>
  </w:num>
  <w:num w:numId="28" w16cid:durableId="1249117397">
    <w:abstractNumId w:val="32"/>
  </w:num>
  <w:num w:numId="29" w16cid:durableId="202327043">
    <w:abstractNumId w:val="5"/>
  </w:num>
  <w:num w:numId="30" w16cid:durableId="1691561880">
    <w:abstractNumId w:val="10"/>
  </w:num>
  <w:num w:numId="31" w16cid:durableId="1523587123">
    <w:abstractNumId w:val="36"/>
  </w:num>
  <w:num w:numId="32" w16cid:durableId="271132732">
    <w:abstractNumId w:val="49"/>
  </w:num>
  <w:num w:numId="33" w16cid:durableId="1586383362">
    <w:abstractNumId w:val="48"/>
  </w:num>
  <w:num w:numId="34" w16cid:durableId="1767967451">
    <w:abstractNumId w:val="43"/>
  </w:num>
  <w:num w:numId="35" w16cid:durableId="832329675">
    <w:abstractNumId w:val="42"/>
  </w:num>
  <w:num w:numId="36" w16cid:durableId="1286234622">
    <w:abstractNumId w:val="7"/>
  </w:num>
  <w:num w:numId="37" w16cid:durableId="1480070045">
    <w:abstractNumId w:val="46"/>
  </w:num>
  <w:num w:numId="38" w16cid:durableId="1119452314">
    <w:abstractNumId w:val="20"/>
  </w:num>
  <w:num w:numId="39" w16cid:durableId="1932662080">
    <w:abstractNumId w:val="13"/>
  </w:num>
  <w:num w:numId="40" w16cid:durableId="1147479617">
    <w:abstractNumId w:val="44"/>
  </w:num>
  <w:num w:numId="41" w16cid:durableId="1319311246">
    <w:abstractNumId w:val="23"/>
  </w:num>
  <w:num w:numId="42" w16cid:durableId="2073653226">
    <w:abstractNumId w:val="8"/>
  </w:num>
  <w:num w:numId="43" w16cid:durableId="1814129346">
    <w:abstractNumId w:val="14"/>
  </w:num>
  <w:num w:numId="44" w16cid:durableId="475613634">
    <w:abstractNumId w:val="26"/>
  </w:num>
  <w:num w:numId="45" w16cid:durableId="1652755781">
    <w:abstractNumId w:val="50"/>
  </w:num>
  <w:num w:numId="46" w16cid:durableId="1493912574">
    <w:abstractNumId w:val="30"/>
  </w:num>
  <w:num w:numId="47" w16cid:durableId="1118765206">
    <w:abstractNumId w:val="27"/>
  </w:num>
  <w:num w:numId="48" w16cid:durableId="1509366828">
    <w:abstractNumId w:val="4"/>
  </w:num>
  <w:num w:numId="49" w16cid:durableId="1940136438">
    <w:abstractNumId w:val="11"/>
  </w:num>
  <w:num w:numId="50" w16cid:durableId="2023434293">
    <w:abstractNumId w:val="12"/>
  </w:num>
  <w:num w:numId="51" w16cid:durableId="7394188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15450</Words>
  <Characters>88070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Vip4</cp:lastModifiedBy>
  <cp:revision>5</cp:revision>
  <dcterms:created xsi:type="dcterms:W3CDTF">2023-04-18T16:52:00Z</dcterms:created>
  <dcterms:modified xsi:type="dcterms:W3CDTF">2023-04-18T17:34:00Z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