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9FA4" w14:textId="77777777" w:rsidR="001C2401" w:rsidRDefault="00816DB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Rel-18 eRedCap UE capable of 20MHz + PR1 and Rel-18 eRedCap UE capable of BW3/PR3 + PR1 are designed/targeted to same peak data rate, i.e., 10Mbps</w:t>
            </w:r>
          </w:p>
          <w:p w14:paraId="727C29BF"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205A72C2"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48F14562"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6AFF9053" w14:textId="77777777" w:rsidR="001C2401" w:rsidRDefault="00816DBE">
            <w:pPr>
              <w:spacing w:after="0"/>
              <w:ind w:left="567" w:hanging="567"/>
              <w:jc w:val="left"/>
            </w:pPr>
            <w:r>
              <w:t>Note 4: The initial access procedure of Rel-18 eRedCap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E9070C"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Yu Mincho"/>
                <w:lang w:val="en-US" w:eastAsia="ja-JP"/>
              </w:rPr>
            </w:pPr>
            <w:r>
              <w:rPr>
                <w:rFonts w:eastAsia="Yu Mincho"/>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新細明體"/>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新細明體"/>
                <w:lang w:val="en-US" w:eastAsia="zh-TW"/>
              </w:rPr>
            </w:pPr>
            <w:r>
              <w:rPr>
                <w:rFonts w:eastAsia="新細明體"/>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新細明體"/>
                <w:lang w:val="en-US" w:eastAsia="zh-TW"/>
              </w:rPr>
            </w:pPr>
            <w:r>
              <w:rPr>
                <w:rFonts w:eastAsia="新細明體"/>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新細明體"/>
                <w:lang w:val="en-US" w:eastAsia="zh-TW"/>
              </w:rPr>
            </w:pPr>
            <w:r>
              <w:rPr>
                <w:rFonts w:eastAsia="新細明體"/>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新細明體"/>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r>
              <w:rPr>
                <w:rFonts w:eastAsiaTheme="minorEastAsia"/>
                <w:lang w:val="en-US" w:eastAsia="zh-CN"/>
              </w:rPr>
              <w:t>Rapeepat Ratasuk</w:t>
            </w:r>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新細明體"/>
                <w:lang w:eastAsia="zh-TW"/>
              </w:rPr>
            </w:pPr>
            <w:r>
              <w:rPr>
                <w:rFonts w:eastAsia="新細明體"/>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1755BB8D" w14:textId="77777777" w:rsidR="001C2401" w:rsidRDefault="00816DBE">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4F08D60E" w14:textId="77777777" w:rsidR="001C2401" w:rsidRDefault="00816DBE">
            <w:pPr>
              <w:spacing w:after="0"/>
              <w:jc w:val="center"/>
              <w:rPr>
                <w:rFonts w:eastAsia="新細明體"/>
                <w:lang w:val="en-US" w:eastAsia="zh-TW"/>
              </w:rPr>
            </w:pPr>
            <w:r>
              <w:rPr>
                <w:rFonts w:eastAsia="新細明體"/>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r>
              <w:rPr>
                <w:rFonts w:eastAsiaTheme="minorEastAsia"/>
                <w:lang w:val="en-US" w:eastAsia="zh-CN"/>
              </w:rPr>
              <w:t>Xiaojun Ma</w:t>
            </w:r>
          </w:p>
        </w:tc>
        <w:tc>
          <w:tcPr>
            <w:tcW w:w="4139" w:type="dxa"/>
          </w:tcPr>
          <w:p w14:paraId="1D07363E" w14:textId="77777777" w:rsidR="001C2401" w:rsidRDefault="00816DBE">
            <w:pPr>
              <w:spacing w:after="0"/>
              <w:jc w:val="center"/>
              <w:rPr>
                <w:rFonts w:eastAsia="新細明體"/>
                <w:lang w:val="en-US" w:eastAsia="zh-TW"/>
              </w:rPr>
            </w:pPr>
            <w:r>
              <w:rPr>
                <w:rFonts w:eastAsia="新細明體"/>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r>
              <w:rPr>
                <w:rFonts w:eastAsiaTheme="minorEastAsia"/>
                <w:lang w:eastAsia="zh-CN"/>
              </w:rPr>
              <w:t>Spreadtrum</w:t>
            </w:r>
          </w:p>
        </w:tc>
        <w:tc>
          <w:tcPr>
            <w:tcW w:w="2977" w:type="dxa"/>
          </w:tcPr>
          <w:p w14:paraId="648CF63F" w14:textId="77777777" w:rsidR="001C2401" w:rsidRDefault="00816DB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A8C47F4" w14:textId="77777777" w:rsidR="001C2401" w:rsidRDefault="00816DB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Yu Mincho"/>
                <w:lang w:val="en-US" w:eastAsia="ja-JP"/>
              </w:rPr>
              <w:t>maki.shotaro@jp.panasonic.com</w:t>
            </w:r>
          </w:p>
        </w:tc>
      </w:tr>
    </w:tbl>
    <w:p w14:paraId="0D7DAC17" w14:textId="77777777" w:rsidR="001C2401" w:rsidRDefault="001C2401">
      <w:pPr>
        <w:rPr>
          <w:szCs w:val="22"/>
          <w:highlight w:val="magenta"/>
          <w:lang w:val="en-US"/>
        </w:rPr>
      </w:pPr>
    </w:p>
    <w:p w14:paraId="293FB5FD" w14:textId="77777777" w:rsidR="001C2401" w:rsidRDefault="00816DB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C46FE31" w14:textId="77777777" w:rsidR="001C2401" w:rsidRDefault="00816DB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27508A9"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D73873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9FF25A" w14:textId="77777777" w:rsidR="001C2401" w:rsidRDefault="001C2401">
            <w:pPr>
              <w:tabs>
                <w:tab w:val="left" w:pos="551"/>
              </w:tabs>
              <w:jc w:val="left"/>
              <w:rPr>
                <w:rFonts w:eastAsia="Yu Mincho"/>
                <w:lang w:val="en-US" w:eastAsia="ja-JP"/>
              </w:rPr>
            </w:pPr>
          </w:p>
        </w:tc>
        <w:tc>
          <w:tcPr>
            <w:tcW w:w="6780" w:type="dxa"/>
          </w:tcPr>
          <w:p w14:paraId="4C211FDD" w14:textId="77777777"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lastRenderedPageBreak/>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EE25C8"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43468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B049144" w14:textId="77777777" w:rsidR="001C2401" w:rsidRDefault="001C2401">
            <w:pPr>
              <w:spacing w:after="0" w:line="240" w:lineRule="auto"/>
              <w:jc w:val="left"/>
              <w:rPr>
                <w:rFonts w:ascii="Times" w:eastAsia="MS PGothic"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6189C717"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6AD7E61D" w14:textId="77777777" w:rsidR="001C2401" w:rsidRDefault="00816DBE">
      <w:pPr>
        <w:pStyle w:val="ListParagraph"/>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ListParagraph"/>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ListParagraph"/>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0ED600"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14:paraId="2B348FC0" w14:textId="77777777"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w:t>
            </w:r>
            <w:r>
              <w:rPr>
                <w:rFonts w:eastAsiaTheme="minorEastAsia"/>
                <w:lang w:val="en-US" w:eastAsia="zh-CN"/>
              </w:rPr>
              <w:lastRenderedPageBreak/>
              <w:t>assume that the channel estimation processing requirements are much much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B72C8F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D946C9E"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217CEC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66478EA"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77F93EF"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45AF318" w14:textId="77777777" w:rsidR="001C2401" w:rsidRDefault="00816DB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lastRenderedPageBreak/>
        <w:t>FL2 High Priority Proposal 2.2-1b</w:t>
      </w:r>
      <w:r>
        <w:rPr>
          <w:rFonts w:eastAsiaTheme="minorEastAsia"/>
          <w:b/>
          <w:bCs/>
          <w:lang w:val="en-US" w:eastAsia="zh-CN"/>
        </w:rPr>
        <w:t>:</w:t>
      </w:r>
    </w:p>
    <w:p w14:paraId="7CFD29F5"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CB4C1E1"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3C3EE5"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D50047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9F6DC86"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6E4679E"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367F801"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C6EE27E" w14:textId="77777777" w:rsidR="001C2401" w:rsidRDefault="00816DBE">
            <w:pPr>
              <w:jc w:val="left"/>
              <w:rPr>
                <w:rFonts w:eastAsiaTheme="minorEastAsia"/>
                <w:lang w:val="en-US" w:eastAsia="zh-CN"/>
              </w:rPr>
            </w:pPr>
            <w:r>
              <w:rPr>
                <w:rFonts w:eastAsiaTheme="minorEastAsia"/>
                <w:lang w:val="en-US" w:eastAsia="zh-CN"/>
              </w:rPr>
              <w:t xml:space="preserve">If no enhancement on the default TDRA table or the Δ values, no additional early indication in Msg1 is needed. Because NW still has the flexibility to use any entry in the current default TDRA table, if the scheduling timing K2 of the </w:t>
            </w:r>
            <w:r>
              <w:rPr>
                <w:rFonts w:eastAsiaTheme="minorEastAsia"/>
                <w:lang w:val="en-US" w:eastAsia="zh-CN"/>
              </w:rPr>
              <w:lastRenderedPageBreak/>
              <w:t>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91597D"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B3E64F4" w14:textId="77777777"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3B3D9AE"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5B2B78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438D07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w:t>
            </w:r>
            <w:r>
              <w:rPr>
                <w:sz w:val="20"/>
                <w:szCs w:val="21"/>
                <w:lang w:val="en-US"/>
              </w:rPr>
              <w:lastRenderedPageBreak/>
              <w:t xml:space="preserve">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DCEBA9E" w14:textId="77777777"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hint="eastAsia"/>
                <w:lang w:val="en-US" w:eastAsia="zh-CN"/>
              </w:rPr>
            </w:pPr>
            <w:r w:rsidRPr="00663233">
              <w:rPr>
                <w:rFonts w:eastAsia="新細明體" w:hint="eastAsia"/>
                <w:lang w:val="en-US" w:eastAsia="zh-TW"/>
              </w:rPr>
              <w:t>M</w:t>
            </w:r>
            <w:r w:rsidRPr="00663233">
              <w:rPr>
                <w:rFonts w:eastAsia="新細明體"/>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hint="eastAsia"/>
                <w:lang w:val="en-US" w:eastAsia="zh-CN"/>
              </w:rPr>
            </w:pPr>
            <w:r w:rsidRPr="00663233">
              <w:rPr>
                <w:rFonts w:eastAsia="新細明體" w:hint="eastAsia"/>
                <w:lang w:val="en-US" w:eastAsia="zh-TW"/>
              </w:rPr>
              <w:t>O</w:t>
            </w:r>
            <w:r w:rsidRPr="00663233">
              <w:rPr>
                <w:rFonts w:eastAsia="新細明體"/>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新細明體" w:hint="eastAsia"/>
                <w:lang w:val="en-US" w:eastAsia="zh-TW"/>
              </w:rPr>
              <w:t>O</w:t>
            </w:r>
            <w:r w:rsidRPr="00663233">
              <w:rPr>
                <w:rFonts w:eastAsia="新細明體"/>
                <w:lang w:val="en-US" w:eastAsia="zh-TW"/>
              </w:rPr>
              <w:t xml:space="preserve">ur preference remains Option 3 but we </w:t>
            </w:r>
            <w:r>
              <w:rPr>
                <w:rFonts w:eastAsia="新細明體"/>
                <w:lang w:val="en-US" w:eastAsia="zh-TW"/>
              </w:rPr>
              <w:t>can compromise to</w:t>
            </w:r>
            <w:r w:rsidRPr="00663233">
              <w:rPr>
                <w:rFonts w:eastAsia="新細明體"/>
                <w:lang w:val="en-US" w:eastAsia="zh-TW"/>
              </w:rPr>
              <w:t xml:space="preserve"> Option 2</w:t>
            </w:r>
            <w:r>
              <w:rPr>
                <w:rFonts w:eastAsia="新細明體"/>
                <w:lang w:val="en-US" w:eastAsia="zh-TW"/>
              </w:rPr>
              <w:t xml:space="preserve">. </w:t>
            </w:r>
          </w:p>
        </w:tc>
      </w:tr>
    </w:tbl>
    <w:p w14:paraId="5F5BEE56" w14:textId="77777777" w:rsidR="001C2401" w:rsidRDefault="001C2401">
      <w:pPr>
        <w:rPr>
          <w:bCs/>
          <w:szCs w:val="22"/>
          <w:lang w:val="en-US"/>
        </w:rPr>
      </w:pPr>
    </w:p>
    <w:p w14:paraId="64D343DD" w14:textId="77777777"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B3F9312"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0FA02E3"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BB8BAB0" w14:textId="77777777" w:rsidR="001C2401" w:rsidRDefault="001C2401">
            <w:pPr>
              <w:tabs>
                <w:tab w:val="left" w:pos="1622"/>
              </w:tabs>
              <w:spacing w:after="0"/>
              <w:jc w:val="left"/>
              <w:rPr>
                <w:rFonts w:ascii="Arial" w:eastAsia="MS Mincho"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E381A7" w14:textId="77777777" w:rsidR="001C2401" w:rsidRDefault="00816DBE">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49A29ED"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9476999"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23AB0034"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4EEEF50" w14:textId="77777777" w:rsidR="001C2401" w:rsidRDefault="00816DBE">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E70484"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CA520A9" w14:textId="77777777" w:rsidR="001C2401" w:rsidRDefault="00816DBE">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w:t>
            </w:r>
            <w:r>
              <w:rPr>
                <w:rFonts w:eastAsia="Yu Mincho"/>
                <w:lang w:val="en-US" w:eastAsia="ja-JP"/>
              </w:rPr>
              <w:lastRenderedPageBreak/>
              <w:t>even for legacy UEs which is not desired from efficiency and flexibility perspective.</w:t>
            </w:r>
          </w:p>
          <w:p w14:paraId="35E2ABAB" w14:textId="77777777" w:rsidR="001C2401" w:rsidRDefault="00816DB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2A7DDF26" w14:textId="77777777"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C34CA89" w14:textId="77777777" w:rsidR="001C2401" w:rsidRDefault="00816DB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lastRenderedPageBreak/>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lastRenderedPageBreak/>
        <w:t>FL2 High Priority Proposal 2.3-1b</w:t>
      </w:r>
      <w:r>
        <w:rPr>
          <w:rFonts w:eastAsia="Calibri"/>
          <w:b/>
          <w:bCs/>
          <w:szCs w:val="22"/>
          <w:lang w:val="en-US" w:eastAsia="ja-JP"/>
        </w:rPr>
        <w:t>:</w:t>
      </w:r>
    </w:p>
    <w:p w14:paraId="613AF4AF"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BW3/PR3+PR1 + PR1 share the initial access, based on RAN guidance. So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lastRenderedPageBreak/>
              <w:t>Proposal: Support at least one of the following options to ensure that gNB knows whether to expect access by UEs supporting UE BB bandwidth reduction:</w:t>
            </w:r>
          </w:p>
          <w:p w14:paraId="682A5082" w14:textId="77777777" w:rsidR="001C2401" w:rsidRDefault="00816DBE">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lastRenderedPageBreak/>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Note 4: The initial access procedure of Rel-18 eRedCap UE capable of 20MHz + PR1 is realized by following:</w:t>
                  </w:r>
                </w:p>
                <w:p w14:paraId="1B582AD0" w14:textId="77777777" w:rsidR="001C2401" w:rsidRDefault="00816DBE">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Note 4: The initial access procedure of Rel-18 eRedCap UE capable of 20MHz + PR1 is realized by following:</w:t>
            </w:r>
          </w:p>
          <w:p w14:paraId="39D35CE9" w14:textId="33D31974" w:rsidR="00A020C6" w:rsidRDefault="00A020C6" w:rsidP="00A020C6">
            <w:pPr>
              <w:jc w:val="left"/>
              <w:rPr>
                <w:rFonts w:eastAsiaTheme="minorEastAsia" w:hint="eastAsia"/>
                <w:lang w:val="en-US" w:eastAsia="zh-CN"/>
              </w:rPr>
            </w:pPr>
            <w:r w:rsidRPr="00711691">
              <w:rPr>
                <w:i/>
                <w:iCs/>
              </w:rPr>
              <w:t>Same as Rel-18 eRedCap UE capable of BW3/PR3 + PR1</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br/>
        <w:t>The contributions express the following views regarding separate initial BWP:</w:t>
      </w:r>
    </w:p>
    <w:p w14:paraId="78922B98"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lastRenderedPageBreak/>
        <w:t>Contribution [13] proposes to support separate initial BWP for Rel-18 eRedCap UEs only when the cell does not support Rel-17 RedCap UEs.</w:t>
      </w:r>
    </w:p>
    <w:p w14:paraId="1FE0E2B9"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11669AC4" w14:textId="77777777" w:rsidR="001C2401" w:rsidRDefault="00816DB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lastRenderedPageBreak/>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t>Companies are invited to reply to the following question.</w:t>
      </w:r>
    </w:p>
    <w:p w14:paraId="207083A0" w14:textId="77777777"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A5659B"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6237BAE1" w14:textId="77777777" w:rsidR="001C2401" w:rsidRDefault="00816DB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26E272E0"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w:t>
            </w:r>
            <w:r>
              <w:rPr>
                <w:rFonts w:ascii="Times New Roman" w:eastAsiaTheme="minorEastAsia" w:hAnsi="Times New Roman" w:cs="Times New Roman"/>
                <w:sz w:val="20"/>
                <w:szCs w:val="20"/>
                <w:lang w:val="en-US" w:eastAsia="zh-CN"/>
              </w:rPr>
              <w:lastRenderedPageBreak/>
              <w:t xml:space="preserve">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 xml:space="preserve">Note that this scenario does not include the case that RAR PDSCH and unicast PDSCH are received at the same time. The broadcast PDSCH is only for SI </w:t>
            </w:r>
            <w:r>
              <w:rPr>
                <w:rFonts w:eastAsiaTheme="minorEastAsia"/>
                <w:lang w:val="en-US" w:eastAsia="zh-CN"/>
              </w:rPr>
              <w:lastRenderedPageBreak/>
              <w:t>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FB1857F"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r>
              <w:rPr>
                <w:rFonts w:eastAsiaTheme="minorEastAsia"/>
                <w:lang w:val="en-US" w:eastAsia="zh-CN"/>
              </w:rPr>
              <w:t>Spreadtrum</w:t>
            </w:r>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377EA22" w14:textId="77777777"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3FFAFE28" w14:textId="77777777"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14:paraId="1AF51874" w14:textId="77777777" w:rsidR="001C2401" w:rsidRDefault="00816DBE">
            <w:pPr>
              <w:jc w:val="left"/>
              <w:rPr>
                <w:rFonts w:eastAsia="Yu Mincho"/>
                <w:lang w:val="en-US" w:eastAsia="ja-JP"/>
              </w:rPr>
            </w:pPr>
            <w:r>
              <w:rPr>
                <w:rFonts w:eastAsia="Yu Mincho"/>
                <w:lang w:val="en-US" w:eastAsia="ja-JP"/>
              </w:rPr>
              <w:t>The current spec (w/o change) for FR1 is interpreted as:</w:t>
            </w:r>
          </w:p>
          <w:p w14:paraId="47B7DE66" w14:textId="77777777" w:rsidR="001C2401" w:rsidRDefault="00816DBE">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4714B70" w14:textId="77777777" w:rsidR="001C2401" w:rsidRDefault="001C2401">
            <w:pPr>
              <w:jc w:val="left"/>
              <w:rPr>
                <w:rFonts w:eastAsia="Yu Mincho"/>
                <w:lang w:val="en-US"/>
              </w:rPr>
            </w:pPr>
          </w:p>
          <w:p w14:paraId="1967DD2F" w14:textId="77777777"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5CFF383" w14:textId="77777777" w:rsidR="001C2401" w:rsidRDefault="00816DB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w:t>
            </w:r>
            <w:r>
              <w:rPr>
                <w:color w:val="000000"/>
                <w:kern w:val="2"/>
                <w:lang w:val="en-US" w:eastAsia="zh-CN"/>
              </w:rPr>
              <w:lastRenderedPageBreak/>
              <w:t xml:space="preserve">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Yu Mincho"/>
                <w:lang w:val="en-US" w:eastAsia="ja-JP"/>
              </w:rPr>
            </w:pPr>
            <w:r>
              <w:rPr>
                <w:rFonts w:eastAsia="Yu Mincho"/>
                <w:lang w:val="en-US" w:eastAsia="ja-JP"/>
              </w:rPr>
              <w:t>So, our interpretation of the spec (w/o change) is:</w:t>
            </w:r>
          </w:p>
          <w:p w14:paraId="6AA81557" w14:textId="77777777" w:rsidR="001C2401" w:rsidRDefault="00816DBE">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Yu Mincho"/>
                <w:lang w:val="en-US" w:eastAsia="ja-JP"/>
              </w:rPr>
            </w:pPr>
          </w:p>
          <w:p w14:paraId="0FA11F64" w14:textId="77777777"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33E08C2"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Yu Mincho"/>
                      <w:lang w:eastAsia="ja-JP"/>
                    </w:rPr>
                  </w:pPr>
                  <w:r>
                    <w:rPr>
                      <w:rFonts w:eastAsia="Yu Mincho"/>
                      <w:lang w:eastAsia="ja-JP"/>
                    </w:rPr>
                    <w:t>unicast vs. P-RNTI triggered SI</w:t>
                  </w:r>
                </w:p>
              </w:tc>
              <w:tc>
                <w:tcPr>
                  <w:tcW w:w="2177" w:type="dxa"/>
                </w:tcPr>
                <w:p w14:paraId="3485AC06" w14:textId="77777777" w:rsidR="001C2401" w:rsidRDefault="00816DBE">
                  <w:pPr>
                    <w:jc w:val="left"/>
                    <w:rPr>
                      <w:rFonts w:eastAsia="Yu Mincho"/>
                      <w:lang w:eastAsia="ja-JP"/>
                    </w:rPr>
                  </w:pPr>
                  <w:r>
                    <w:rPr>
                      <w:rFonts w:eastAsia="Yu Mincho"/>
                      <w:lang w:eastAsia="ja-JP"/>
                    </w:rPr>
                    <w:t>unicast vs. autonomous SI acquisition</w:t>
                  </w:r>
                </w:p>
              </w:tc>
              <w:tc>
                <w:tcPr>
                  <w:tcW w:w="2177" w:type="dxa"/>
                </w:tcPr>
                <w:p w14:paraId="07254384" w14:textId="77777777" w:rsidR="001C2401" w:rsidRDefault="00816DBE">
                  <w:pPr>
                    <w:jc w:val="left"/>
                    <w:rPr>
                      <w:rFonts w:eastAsia="Yu Mincho"/>
                      <w:lang w:eastAsia="ja-JP"/>
                    </w:rPr>
                  </w:pPr>
                  <w:r>
                    <w:rPr>
                      <w:rFonts w:eastAsia="Yu Mincho"/>
                      <w:lang w:eastAsia="ja-JP"/>
                    </w:rPr>
                    <w:t>unicast vs. RAR</w:t>
                  </w:r>
                </w:p>
              </w:tc>
            </w:tr>
            <w:tr w:rsidR="001C2401" w14:paraId="5792F7A6" w14:textId="77777777">
              <w:tc>
                <w:tcPr>
                  <w:tcW w:w="2176" w:type="dxa"/>
                </w:tcPr>
                <w:p w14:paraId="639CBADD" w14:textId="77777777"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EB9A3FA" w14:textId="77777777" w:rsidR="001C2401" w:rsidRDefault="00816DBE">
                  <w:pPr>
                    <w:jc w:val="left"/>
                    <w:rPr>
                      <w:rFonts w:eastAsia="Yu Mincho"/>
                      <w:lang w:val="en-US" w:eastAsia="ja-JP"/>
                    </w:rPr>
                  </w:pPr>
                  <w:r>
                    <w:rPr>
                      <w:rFonts w:eastAsia="Yu Mincho"/>
                      <w:lang w:val="en-US" w:eastAsia="ja-JP"/>
                    </w:rPr>
                    <w:t>(Need spec change)</w:t>
                  </w:r>
                </w:p>
              </w:tc>
              <w:tc>
                <w:tcPr>
                  <w:tcW w:w="2177" w:type="dxa"/>
                </w:tcPr>
                <w:p w14:paraId="02D472AF" w14:textId="77777777"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B405447" w14:textId="77777777" w:rsidR="001C2401" w:rsidRDefault="00816DBE">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5DEE042E" w14:textId="77777777" w:rsidR="001C2401" w:rsidRDefault="00816DB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F234822" w14:textId="77777777" w:rsidR="001C2401" w:rsidRDefault="00816DBE">
                  <w:pPr>
                    <w:jc w:val="left"/>
                    <w:rPr>
                      <w:rFonts w:eastAsia="Yu Mincho"/>
                      <w:lang w:val="en-US" w:eastAsia="ja-JP"/>
                    </w:rPr>
                  </w:pPr>
                  <w:r>
                    <w:rPr>
                      <w:rFonts w:eastAsia="Yu Mincho"/>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18F5FD4" w14:textId="77777777" w:rsidR="001C2401" w:rsidRDefault="00816DB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45C0CE0" w14:textId="77777777" w:rsidR="001C2401" w:rsidRDefault="00816DBE">
            <w:pPr>
              <w:jc w:val="left"/>
              <w:rPr>
                <w:lang w:val="en-US" w:eastAsia="zh-CN"/>
              </w:rPr>
            </w:pPr>
            <w:r>
              <w:rPr>
                <w:rFonts w:hint="eastAsia"/>
                <w:lang w:val="en-US" w:eastAsia="zh-CN"/>
              </w:rPr>
              <w:t xml:space="preserve">Therefore, to avoid the invalid scheduling and negative impacts, the gNB actually should schedule after the PUCCH feedback, which actually require the timeline </w:t>
            </w:r>
            <w:r>
              <w:rPr>
                <w:rFonts w:hint="eastAsia"/>
                <w:lang w:val="en-US" w:eastAsia="zh-CN"/>
              </w:rPr>
              <w:lastRenderedPageBreak/>
              <w:t>relaxing for the gNB.</w:t>
            </w:r>
          </w:p>
        </w:tc>
      </w:tr>
      <w:tr w:rsidR="00FE6561" w14:paraId="409EFA47" w14:textId="77777777">
        <w:tc>
          <w:tcPr>
            <w:tcW w:w="1479" w:type="dxa"/>
          </w:tcPr>
          <w:p w14:paraId="0DECCB73" w14:textId="2B9A5AD2" w:rsidR="00FE6561" w:rsidRDefault="00FE6561" w:rsidP="00FE6561">
            <w:pPr>
              <w:jc w:val="left"/>
              <w:rPr>
                <w:rFonts w:eastAsiaTheme="minorEastAsia" w:hint="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ListParagraph"/>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ListParagraph"/>
              <w:ind w:left="360"/>
              <w:jc w:val="left"/>
              <w:rPr>
                <w:rFonts w:eastAsiaTheme="minorEastAsia" w:hint="eastAsia"/>
                <w:lang w:val="en-US" w:eastAsia="zh-CN"/>
              </w:rPr>
            </w:pPr>
          </w:p>
          <w:p w14:paraId="1E8DCA84" w14:textId="616710C0" w:rsidR="00FE6561" w:rsidRPr="00926794" w:rsidRDefault="00FE6561" w:rsidP="00926794">
            <w:pPr>
              <w:pStyle w:val="ListParagraph"/>
              <w:numPr>
                <w:ilvl w:val="0"/>
                <w:numId w:val="51"/>
              </w:numPr>
              <w:jc w:val="left"/>
              <w:rPr>
                <w:rFonts w:hint="eastAsia"/>
                <w:lang w:val="en-US" w:eastAsia="zh-CN"/>
              </w:rPr>
            </w:pPr>
            <w:r w:rsidRPr="00926794">
              <w:rPr>
                <w:rFonts w:eastAsiaTheme="minorEastAsia"/>
                <w:b/>
                <w:bCs/>
                <w:lang w:val="en-US" w:eastAsia="zh-CN"/>
              </w:rPr>
              <w:t>Unicast vs broadcast with SI-RNTI</w:t>
            </w:r>
            <w:r w:rsidRPr="00926794">
              <w:rPr>
                <w:rFonts w:eastAsiaTheme="minorEastAsia"/>
                <w:lang w:val="en-US" w:eastAsia="zh-CN"/>
              </w:rPr>
              <w:t xml:space="preserve">, we are open for discussion. </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F9E3C2C"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25EBA3"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ListParagraph"/>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E42138"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81658"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5F4E2A33" w14:textId="77777777"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ListParagraph"/>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3006256"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886499"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76884228" w14:textId="77777777"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w:t>
            </w:r>
            <w:r>
              <w:rPr>
                <w:rFonts w:eastAsiaTheme="minorEastAsia"/>
                <w:lang w:val="en-US" w:eastAsia="zh-CN"/>
              </w:rPr>
              <w:lastRenderedPageBreak/>
              <w:t xml:space="preserve">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2pt" o:ole="">
                  <v:imagedata r:id="rId17" o:title=""/>
                </v:shape>
                <o:OLEObject Type="Embed" ProgID="Visio.Drawing.15" ShapeID="_x0000_i1025" DrawAspect="Content" ObjectID="_1743364009" r:id="rId18"/>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 xml:space="preserve">Proposal: For UE BB complexity reduction, for the case when the UE detects </w:t>
            </w:r>
            <w:r>
              <w:rPr>
                <w:rFonts w:eastAsiaTheme="minorEastAsia"/>
                <w:b/>
                <w:bCs/>
                <w:lang w:eastAsia="zh-CN"/>
              </w:rPr>
              <w:lastRenderedPageBreak/>
              <w:t>a DCI scheduling a Msg4 PDSCH transmission with a larger bandwidth than it can receive or process, RAN1 selects one of the following options:</w:t>
            </w:r>
          </w:p>
          <w:p w14:paraId="75460EDA"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1324E61"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14:paraId="277768B4" w14:textId="77777777"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Yu Mincho"/>
                <w:lang w:val="en-US" w:eastAsia="ja-JP"/>
              </w:rPr>
              <w:lastRenderedPageBreak/>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Yu Mincho" w:hint="eastAsia"/>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123EE8E" w14:textId="68D624D2" w:rsidR="00554DF9" w:rsidRDefault="00554DF9" w:rsidP="00554DF9">
            <w:pPr>
              <w:tabs>
                <w:tab w:val="left" w:pos="551"/>
              </w:tabs>
              <w:jc w:val="left"/>
              <w:rPr>
                <w:rFonts w:eastAsia="Yu Mincho"/>
                <w:lang w:val="en-US" w:eastAsia="ja-JP"/>
              </w:rPr>
            </w:pPr>
            <w:r>
              <w:rPr>
                <w:rFonts w:eastAsia="Yu Mincho" w:hint="eastAsia"/>
                <w:lang w:val="en-US" w:eastAsia="ja-JP"/>
              </w:rPr>
              <w:t>Y</w:t>
            </w:r>
          </w:p>
        </w:tc>
        <w:tc>
          <w:tcPr>
            <w:tcW w:w="6780" w:type="dxa"/>
          </w:tcPr>
          <w:p w14:paraId="7A8371BC" w14:textId="7A4F8405" w:rsidR="00554DF9" w:rsidRDefault="00554DF9" w:rsidP="00554DF9">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ListParagraph"/>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ListParagraph"/>
        <w:numPr>
          <w:ilvl w:val="0"/>
          <w:numId w:val="44"/>
        </w:numPr>
        <w:jc w:val="left"/>
        <w:rPr>
          <w:b/>
          <w:bCs/>
          <w:sz w:val="20"/>
          <w:szCs w:val="22"/>
          <w:lang w:val="en-US"/>
        </w:rPr>
      </w:pPr>
      <w:r>
        <w:rPr>
          <w:b/>
          <w:bCs/>
          <w:sz w:val="20"/>
          <w:szCs w:val="22"/>
          <w:lang w:val="en-US"/>
        </w:rPr>
        <w:t>Option 2: Yes, limit the MsgB PDSCH bandwidth in the same way as for Msg2 PDSCH.</w:t>
      </w:r>
    </w:p>
    <w:p w14:paraId="4E02DAEF" w14:textId="77777777" w:rsidR="001C2401" w:rsidRDefault="00816DBE">
      <w:pPr>
        <w:pStyle w:val="ListParagraph"/>
        <w:numPr>
          <w:ilvl w:val="0"/>
          <w:numId w:val="44"/>
        </w:numPr>
        <w:jc w:val="left"/>
        <w:rPr>
          <w:b/>
          <w:bCs/>
          <w:sz w:val="20"/>
          <w:szCs w:val="22"/>
          <w:lang w:val="en-US"/>
        </w:rPr>
      </w:pPr>
      <w:r>
        <w:rPr>
          <w:b/>
          <w:bCs/>
          <w:sz w:val="20"/>
          <w:szCs w:val="22"/>
          <w:lang w:val="en-US"/>
        </w:rPr>
        <w:lastRenderedPageBreak/>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Heading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lastRenderedPageBreak/>
        <w:t>FL1 High Priority Question 3.1-1a</w:t>
      </w:r>
      <w:r>
        <w:rPr>
          <w:b/>
          <w:lang w:val="en-US"/>
        </w:rPr>
        <w:t>: Which option should apply for the relaxed constraints (X and Y)?</w:t>
      </w:r>
    </w:p>
    <w:p w14:paraId="4AF0C4E4"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AB69103"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38E5D870" w14:textId="77777777" w:rsidR="001C2401" w:rsidRDefault="00816DB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EFBB84D"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 xml:space="preserve">Interpretation </w:t>
            </w:r>
            <w:r>
              <w:rPr>
                <w:b/>
                <w:bCs/>
                <w:lang w:val="en-US"/>
              </w:rPr>
              <w:lastRenderedPageBreak/>
              <w:t>(1/2/3)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lastRenderedPageBreak/>
              <w:t>Comments</w:t>
            </w:r>
          </w:p>
        </w:tc>
      </w:tr>
      <w:tr w:rsidR="001C2401" w14:paraId="6FF1C151" w14:textId="77777777">
        <w:tc>
          <w:tcPr>
            <w:tcW w:w="1479" w:type="dxa"/>
          </w:tcPr>
          <w:p w14:paraId="074E03AC" w14:textId="77777777" w:rsidR="001C2401" w:rsidRDefault="00816DBE">
            <w:pPr>
              <w:jc w:val="left"/>
              <w:rPr>
                <w:rFonts w:eastAsia="新細明體"/>
                <w:lang w:val="en-US" w:eastAsia="zh-TW"/>
              </w:rPr>
            </w:pPr>
            <w:r>
              <w:rPr>
                <w:rFonts w:eastAsia="新細明體"/>
                <w:lang w:val="en-US" w:eastAsia="zh-TW"/>
              </w:rPr>
              <w:t>MediaTek</w:t>
            </w:r>
          </w:p>
        </w:tc>
        <w:tc>
          <w:tcPr>
            <w:tcW w:w="1464" w:type="dxa"/>
          </w:tcPr>
          <w:p w14:paraId="56EF8425" w14:textId="77777777" w:rsidR="001C2401" w:rsidRDefault="00816DBE">
            <w:pPr>
              <w:tabs>
                <w:tab w:val="left" w:pos="551"/>
              </w:tabs>
              <w:jc w:val="left"/>
              <w:rPr>
                <w:rFonts w:eastAsia="新細明體"/>
                <w:lang w:val="en-US" w:eastAsia="zh-TW"/>
              </w:rPr>
            </w:pPr>
            <w:r>
              <w:rPr>
                <w:rFonts w:eastAsia="新細明體"/>
                <w:lang w:val="en-US" w:eastAsia="zh-TW"/>
              </w:rPr>
              <w:t>1</w:t>
            </w:r>
          </w:p>
        </w:tc>
        <w:tc>
          <w:tcPr>
            <w:tcW w:w="6688" w:type="dxa"/>
          </w:tcPr>
          <w:p w14:paraId="3DAD7527"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27440B8" w14:textId="77777777" w:rsidR="001C2401" w:rsidRDefault="00816DBE">
            <w:pPr>
              <w:pStyle w:val="ListParagraph"/>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00E3ADBC"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98CC570"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新細明體"/>
                <w:lang w:val="en-US" w:eastAsia="zh-TW"/>
              </w:rPr>
            </w:pPr>
            <w:r>
              <w:rPr>
                <w:rFonts w:eastAsiaTheme="minorEastAsia" w:hint="eastAsia"/>
                <w:lang w:val="en-US" w:eastAsia="zh-CN"/>
              </w:rPr>
              <w:t>CATT2</w:t>
            </w:r>
          </w:p>
        </w:tc>
        <w:tc>
          <w:tcPr>
            <w:tcW w:w="1464" w:type="dxa"/>
          </w:tcPr>
          <w:p w14:paraId="0E924922" w14:textId="77777777" w:rsidR="001C2401" w:rsidRDefault="00816DBE">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Yu Mincho"/>
                <w:lang w:val="en-US" w:eastAsia="ja-JP"/>
              </w:rPr>
            </w:pPr>
            <w:r>
              <w:rPr>
                <w:rFonts w:eastAsia="Yu Mincho"/>
                <w:lang w:val="en-US" w:eastAsia="ja-JP"/>
              </w:rPr>
              <w:t>Ericsson</w:t>
            </w:r>
          </w:p>
        </w:tc>
        <w:tc>
          <w:tcPr>
            <w:tcW w:w="1464" w:type="dxa"/>
          </w:tcPr>
          <w:p w14:paraId="1BA5FEF3" w14:textId="77777777" w:rsidR="001C2401" w:rsidRDefault="001C2401">
            <w:pPr>
              <w:tabs>
                <w:tab w:val="left" w:pos="551"/>
              </w:tabs>
              <w:jc w:val="left"/>
              <w:rPr>
                <w:rFonts w:eastAsia="Yu Mincho"/>
                <w:lang w:val="en-US" w:eastAsia="ja-JP"/>
              </w:rPr>
            </w:pPr>
          </w:p>
        </w:tc>
        <w:tc>
          <w:tcPr>
            <w:tcW w:w="6688" w:type="dxa"/>
          </w:tcPr>
          <w:p w14:paraId="4A3269BF" w14:textId="77777777" w:rsidR="001C2401" w:rsidRDefault="00816DB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Yu Mincho"/>
                <w:lang w:val="en-US" w:eastAsia="ja-JP"/>
              </w:rPr>
            </w:pPr>
            <w:r>
              <w:rPr>
                <w:rFonts w:eastAsia="Yu Mincho"/>
                <w:lang w:val="en-US" w:eastAsia="ja-JP"/>
              </w:rPr>
              <w:lastRenderedPageBreak/>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18F8265"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298A3EED"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lastRenderedPageBreak/>
        <w:t>Contributions [10, 12, 13, 15, 17, 18, 24, 25, 26, 27, 28, 30, 35, 37, 38] propose X=3.2.</w:t>
      </w:r>
    </w:p>
    <w:p w14:paraId="27FA2BB5"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F610B4" w14:textId="77777777"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14:paraId="5FEB8794" w14:textId="77777777"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lastRenderedPageBreak/>
        <w:t>FL2 High Priority Proposal 3.2-1b</w:t>
      </w:r>
      <w:r>
        <w:rPr>
          <w:b/>
          <w:lang w:val="en-US"/>
        </w:rPr>
        <w:t>:</w:t>
      </w:r>
    </w:p>
    <w:p w14:paraId="66D4556C"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ListParagraph"/>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B257BC7" w14:textId="77777777" w:rsidR="001C2401" w:rsidRDefault="001C2401">
            <w:pPr>
              <w:tabs>
                <w:tab w:val="left" w:pos="551"/>
              </w:tabs>
              <w:jc w:val="left"/>
              <w:rPr>
                <w:rFonts w:eastAsia="Yu Mincho"/>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28303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B1C8F6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[11] proposes Y=X/4.</w:t>
      </w:r>
    </w:p>
    <w:p w14:paraId="4A6E841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3D81B5"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t>FL2 High Priority Proposal 3.3-1b</w:t>
      </w:r>
      <w:r>
        <w:rPr>
          <w:b/>
          <w:lang w:val="en-US"/>
        </w:rPr>
        <w:t>:</w:t>
      </w:r>
    </w:p>
    <w:p w14:paraId="6F2D3130" w14:textId="77777777" w:rsidR="001C2401" w:rsidRDefault="00816DBE">
      <w:pPr>
        <w:pStyle w:val="ListParagraph"/>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ListParagraph"/>
        <w:numPr>
          <w:ilvl w:val="1"/>
          <w:numId w:val="23"/>
        </w:numPr>
        <w:rPr>
          <w:b/>
          <w:sz w:val="20"/>
          <w:szCs w:val="22"/>
          <w:lang w:val="en-US"/>
        </w:rPr>
      </w:pPr>
      <w:r>
        <w:rPr>
          <w:b/>
          <w:sz w:val="20"/>
          <w:szCs w:val="22"/>
          <w:lang w:val="en-US"/>
        </w:rPr>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5A16982" w14:textId="77777777" w:rsidR="001C2401" w:rsidRDefault="001C2401">
            <w:pPr>
              <w:tabs>
                <w:tab w:val="left" w:pos="551"/>
              </w:tabs>
              <w:jc w:val="left"/>
              <w:rPr>
                <w:rFonts w:eastAsia="Yu Mincho"/>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CE80BE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Heading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ListParagraph"/>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ListParagraph"/>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indications in case of large RBG size [26].</w:t>
      </w:r>
    </w:p>
    <w:p w14:paraId="65D5C7A7" w14:textId="77777777" w:rsidR="001C2401" w:rsidRDefault="00816DBE">
      <w:pPr>
        <w:pStyle w:val="ListParagraph"/>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ListParagraph"/>
        <w:numPr>
          <w:ilvl w:val="0"/>
          <w:numId w:val="50"/>
        </w:numPr>
        <w:jc w:val="left"/>
        <w:rPr>
          <w:sz w:val="20"/>
          <w:szCs w:val="22"/>
          <w:lang w:val="en-US"/>
        </w:rPr>
      </w:pPr>
      <w:r>
        <w:rPr>
          <w:sz w:val="20"/>
          <w:szCs w:val="22"/>
          <w:lang w:val="en-US"/>
        </w:rPr>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ListParagraph"/>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ListParagraph"/>
        <w:numPr>
          <w:ilvl w:val="0"/>
          <w:numId w:val="50"/>
        </w:numPr>
        <w:jc w:val="left"/>
        <w:rPr>
          <w:sz w:val="20"/>
          <w:szCs w:val="22"/>
          <w:lang w:val="en-US"/>
        </w:rPr>
      </w:pPr>
      <w:r>
        <w:rPr>
          <w:sz w:val="20"/>
          <w:szCs w:val="22"/>
          <w:lang w:val="en-US"/>
        </w:rPr>
        <w:lastRenderedPageBreak/>
        <w:t>Restrict the SRS bandwidth to 5 MHz, like the other UL bandwidths [29, 31].</w:t>
      </w:r>
    </w:p>
    <w:p w14:paraId="7664502D" w14:textId="77777777" w:rsidR="001C2401" w:rsidRDefault="00816DBE">
      <w:pPr>
        <w:pStyle w:val="ListParagraph"/>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ListParagraph"/>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ListParagraph"/>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5"/>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6D12EE">
            <w:pPr>
              <w:jc w:val="left"/>
              <w:rPr>
                <w:color w:val="0000FF"/>
                <w:u w:val="single"/>
                <w:lang w:val="en-US"/>
              </w:rPr>
            </w:pPr>
            <w:hyperlink r:id="rId21" w:history="1">
              <w:r w:rsidR="00816DBE">
                <w:rPr>
                  <w:rStyle w:val="Hyperlink"/>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6D12EE">
            <w:pPr>
              <w:jc w:val="left"/>
              <w:rPr>
                <w:rFonts w:eastAsia="Calibri"/>
                <w:color w:val="0000FF"/>
                <w:u w:val="single"/>
                <w:lang w:val="en-US"/>
              </w:rPr>
            </w:pPr>
            <w:hyperlink r:id="rId22" w:history="1">
              <w:r w:rsidR="00816DBE">
                <w:rPr>
                  <w:rStyle w:val="Hyperlink"/>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14:paraId="06FED509" w14:textId="77777777" w:rsidR="001C2401" w:rsidRDefault="006D12EE">
            <w:pPr>
              <w:jc w:val="left"/>
              <w:rPr>
                <w:rStyle w:val="Hyperlink"/>
                <w:color w:val="0000FF"/>
              </w:rPr>
            </w:pPr>
            <w:hyperlink r:id="rId23" w:history="1">
              <w:r w:rsidR="00816DBE">
                <w:rPr>
                  <w:rStyle w:val="Hyperlink"/>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6D12EE">
            <w:pPr>
              <w:jc w:val="left"/>
              <w:rPr>
                <w:rStyle w:val="Hyperlink"/>
                <w:color w:val="0000FF"/>
              </w:rPr>
            </w:pPr>
            <w:hyperlink r:id="rId24" w:history="1">
              <w:r w:rsidR="00816DBE">
                <w:rPr>
                  <w:rStyle w:val="Hyperlink"/>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6D12EE">
            <w:pPr>
              <w:jc w:val="left"/>
              <w:rPr>
                <w:rStyle w:val="Hyperlink"/>
                <w:color w:val="0000FF"/>
              </w:rPr>
            </w:pPr>
            <w:hyperlink r:id="rId25" w:history="1">
              <w:r w:rsidR="00816DBE">
                <w:rPr>
                  <w:rStyle w:val="Hyperlink"/>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6D12EE">
            <w:pPr>
              <w:jc w:val="left"/>
              <w:rPr>
                <w:rStyle w:val="Hyperlink"/>
                <w:color w:val="0000FF"/>
              </w:rPr>
            </w:pPr>
            <w:hyperlink r:id="rId26" w:history="1">
              <w:r w:rsidR="00816DBE">
                <w:rPr>
                  <w:rStyle w:val="Hyperlink"/>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6D12EE">
            <w:pPr>
              <w:jc w:val="left"/>
              <w:rPr>
                <w:rStyle w:val="Hyperlink"/>
                <w:color w:val="0000FF"/>
                <w:lang w:val="en-US" w:eastAsia="sv-SE"/>
              </w:rPr>
            </w:pPr>
            <w:hyperlink r:id="rId27" w:history="1">
              <w:r w:rsidR="00816DBE">
                <w:rPr>
                  <w:rStyle w:val="Hyperlink"/>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6D12EE">
            <w:pPr>
              <w:jc w:val="left"/>
              <w:rPr>
                <w:rStyle w:val="Hyperlink"/>
                <w:color w:val="0000FF"/>
                <w:lang w:val="en-US" w:eastAsia="sv-SE"/>
              </w:rPr>
            </w:pPr>
            <w:hyperlink r:id="rId28" w:history="1">
              <w:r w:rsidR="00816DBE">
                <w:rPr>
                  <w:rStyle w:val="Hyperlink"/>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6D12EE">
            <w:pPr>
              <w:jc w:val="left"/>
              <w:rPr>
                <w:rStyle w:val="Hyperlink"/>
                <w:color w:val="0000FF"/>
                <w:lang w:val="en-US" w:eastAsia="sv-SE"/>
              </w:rPr>
            </w:pPr>
            <w:hyperlink r:id="rId29"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6D12EE">
            <w:pPr>
              <w:jc w:val="left"/>
              <w:rPr>
                <w:rStyle w:val="Hyperlink"/>
                <w:color w:val="0000FF"/>
                <w:lang w:val="en-US" w:eastAsia="sv-SE"/>
              </w:rPr>
            </w:pPr>
            <w:hyperlink r:id="rId30" w:history="1">
              <w:r w:rsidR="00816DBE">
                <w:rPr>
                  <w:rStyle w:val="Hyperlink"/>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14:paraId="63078794" w14:textId="77777777" w:rsidR="001C2401" w:rsidRDefault="006D12EE">
            <w:pPr>
              <w:jc w:val="left"/>
              <w:rPr>
                <w:rStyle w:val="Hyperlink"/>
                <w:color w:val="0000FF"/>
                <w:lang w:val="en-US" w:eastAsia="sv-SE"/>
              </w:rPr>
            </w:pPr>
            <w:hyperlink r:id="rId31" w:history="1">
              <w:r w:rsidR="00816DBE">
                <w:rPr>
                  <w:rStyle w:val="Hyperlink"/>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14:paraId="14098FB6" w14:textId="77777777" w:rsidR="001C2401" w:rsidRDefault="006D12EE">
            <w:pPr>
              <w:jc w:val="left"/>
              <w:rPr>
                <w:rStyle w:val="Hyperlink"/>
                <w:color w:val="0000FF"/>
                <w:lang w:val="en-US" w:eastAsia="sv-SE"/>
              </w:rPr>
            </w:pPr>
            <w:hyperlink r:id="rId32" w:history="1">
              <w:r w:rsidR="00816DBE">
                <w:rPr>
                  <w:rStyle w:val="Hyperlink"/>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6D12EE">
            <w:pPr>
              <w:jc w:val="left"/>
              <w:rPr>
                <w:rStyle w:val="Hyperlink"/>
                <w:color w:val="0000FF"/>
                <w:lang w:val="en-US" w:eastAsia="sv-SE"/>
              </w:rPr>
            </w:pPr>
            <w:hyperlink r:id="rId33" w:history="1">
              <w:r w:rsidR="00816DBE">
                <w:rPr>
                  <w:rStyle w:val="Hyperlink"/>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6F620374" w14:textId="77777777" w:rsidR="001C2401" w:rsidRDefault="006D12EE">
            <w:pPr>
              <w:jc w:val="left"/>
              <w:rPr>
                <w:rStyle w:val="Hyperlink"/>
                <w:color w:val="0000FF"/>
                <w:lang w:val="en-US" w:eastAsia="sv-SE"/>
              </w:rPr>
            </w:pPr>
            <w:hyperlink r:id="rId34" w:history="1">
              <w:r w:rsidR="00816DBE">
                <w:rPr>
                  <w:rStyle w:val="Hyperlink"/>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6D12EE">
            <w:pPr>
              <w:jc w:val="left"/>
              <w:rPr>
                <w:rStyle w:val="Hyperlink"/>
                <w:color w:val="0000FF"/>
                <w:lang w:val="en-US" w:eastAsia="sv-SE"/>
              </w:rPr>
            </w:pPr>
            <w:hyperlink r:id="rId35" w:history="1">
              <w:r w:rsidR="00816DBE">
                <w:rPr>
                  <w:rStyle w:val="Hyperlink"/>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6D12EE">
            <w:pPr>
              <w:jc w:val="left"/>
              <w:rPr>
                <w:rStyle w:val="Hyperlink"/>
                <w:color w:val="0000FF"/>
                <w:lang w:val="en-US" w:eastAsia="sv-SE"/>
              </w:rPr>
            </w:pPr>
            <w:hyperlink r:id="rId36" w:history="1">
              <w:r w:rsidR="00816DBE">
                <w:rPr>
                  <w:rStyle w:val="Hyperlink"/>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6D12EE">
            <w:pPr>
              <w:jc w:val="left"/>
              <w:rPr>
                <w:rStyle w:val="Hyperlink"/>
                <w:color w:val="0000FF"/>
                <w:lang w:val="en-US" w:eastAsia="sv-SE"/>
              </w:rPr>
            </w:pPr>
            <w:hyperlink r:id="rId37" w:history="1">
              <w:r w:rsidR="00816DBE">
                <w:rPr>
                  <w:rStyle w:val="Hyperlink"/>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6D12EE">
            <w:pPr>
              <w:jc w:val="left"/>
              <w:rPr>
                <w:rStyle w:val="Hyperlink"/>
                <w:color w:val="0000FF"/>
                <w:lang w:val="en-US" w:eastAsia="sv-SE"/>
              </w:rPr>
            </w:pPr>
            <w:hyperlink r:id="rId38" w:history="1">
              <w:r w:rsidR="00816DBE">
                <w:rPr>
                  <w:rStyle w:val="Hyperlink"/>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6D12EE">
            <w:pPr>
              <w:jc w:val="left"/>
              <w:rPr>
                <w:rStyle w:val="Hyperlink"/>
                <w:color w:val="0000FF"/>
                <w:lang w:val="en-US" w:eastAsia="sv-SE"/>
              </w:rPr>
            </w:pPr>
            <w:hyperlink r:id="rId39" w:history="1">
              <w:r w:rsidR="00816DBE">
                <w:rPr>
                  <w:rStyle w:val="Hyperlink"/>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6D12EE">
            <w:pPr>
              <w:jc w:val="left"/>
              <w:rPr>
                <w:rStyle w:val="Hyperlink"/>
                <w:color w:val="0000FF"/>
                <w:lang w:val="en-US" w:eastAsia="sv-SE"/>
              </w:rPr>
            </w:pPr>
            <w:hyperlink r:id="rId40" w:history="1">
              <w:r w:rsidR="00816DBE">
                <w:rPr>
                  <w:rStyle w:val="Hyperlink"/>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6D12EE">
            <w:pPr>
              <w:jc w:val="left"/>
              <w:rPr>
                <w:rStyle w:val="Hyperlink"/>
                <w:color w:val="0000FF"/>
                <w:lang w:val="en-US" w:eastAsia="sv-SE"/>
              </w:rPr>
            </w:pPr>
            <w:hyperlink r:id="rId41" w:history="1">
              <w:r w:rsidR="00816DBE">
                <w:rPr>
                  <w:rStyle w:val="Hyperlink"/>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14:paraId="328BBA6C" w14:textId="77777777" w:rsidR="001C2401" w:rsidRDefault="006D12EE">
            <w:pPr>
              <w:jc w:val="left"/>
              <w:rPr>
                <w:rStyle w:val="Hyperlink"/>
                <w:color w:val="0000FF"/>
                <w:lang w:val="en-US" w:eastAsia="sv-SE"/>
              </w:rPr>
            </w:pPr>
            <w:hyperlink r:id="rId42" w:history="1">
              <w:r w:rsidR="00816DBE">
                <w:rPr>
                  <w:rStyle w:val="Hyperlink"/>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6D12EE">
            <w:pPr>
              <w:jc w:val="left"/>
              <w:rPr>
                <w:rStyle w:val="Hyperlink"/>
                <w:color w:val="0000FF"/>
                <w:lang w:val="en-US" w:eastAsia="sv-SE"/>
              </w:rPr>
            </w:pPr>
            <w:hyperlink r:id="rId43" w:history="1">
              <w:r w:rsidR="00816DBE">
                <w:rPr>
                  <w:rStyle w:val="Hyperlink"/>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6D12EE">
            <w:pPr>
              <w:jc w:val="left"/>
              <w:rPr>
                <w:rStyle w:val="Hyperlink"/>
                <w:color w:val="0000FF"/>
                <w:lang w:val="en-US" w:eastAsia="sv-SE"/>
              </w:rPr>
            </w:pPr>
            <w:hyperlink r:id="rId44" w:history="1">
              <w:r w:rsidR="00816DBE">
                <w:rPr>
                  <w:rStyle w:val="Hyperlink"/>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t>[25]</w:t>
            </w:r>
          </w:p>
        </w:tc>
        <w:tc>
          <w:tcPr>
            <w:tcW w:w="1456" w:type="dxa"/>
            <w:tcMar>
              <w:top w:w="0" w:type="dxa"/>
              <w:left w:w="70" w:type="dxa"/>
              <w:bottom w:w="0" w:type="dxa"/>
              <w:right w:w="70" w:type="dxa"/>
            </w:tcMar>
          </w:tcPr>
          <w:p w14:paraId="2C622FF6" w14:textId="77777777" w:rsidR="001C2401" w:rsidRDefault="006D12EE">
            <w:pPr>
              <w:jc w:val="left"/>
              <w:rPr>
                <w:rStyle w:val="Hyperlink"/>
                <w:color w:val="0000FF"/>
                <w:lang w:val="en-US" w:eastAsia="sv-SE"/>
              </w:rPr>
            </w:pPr>
            <w:hyperlink r:id="rId45" w:history="1">
              <w:r w:rsidR="00816DBE">
                <w:rPr>
                  <w:rStyle w:val="Hyperlink"/>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6D12EE">
            <w:pPr>
              <w:jc w:val="left"/>
              <w:rPr>
                <w:rStyle w:val="Hyperlink"/>
                <w:color w:val="0000FF"/>
                <w:lang w:val="en-US" w:eastAsia="sv-SE"/>
              </w:rPr>
            </w:pPr>
            <w:hyperlink r:id="rId46" w:history="1">
              <w:r w:rsidR="00816DBE">
                <w:rPr>
                  <w:rStyle w:val="Hyperlink"/>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6D12EE">
            <w:pPr>
              <w:jc w:val="left"/>
              <w:rPr>
                <w:rStyle w:val="Hyperlink"/>
                <w:color w:val="0000FF"/>
                <w:lang w:val="en-US" w:eastAsia="sv-SE"/>
              </w:rPr>
            </w:pPr>
            <w:hyperlink r:id="rId47" w:history="1">
              <w:r w:rsidR="00816DBE">
                <w:rPr>
                  <w:rStyle w:val="Hyperlink"/>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6D12EE">
            <w:pPr>
              <w:jc w:val="left"/>
              <w:rPr>
                <w:rStyle w:val="Hyperlink"/>
                <w:color w:val="0000FF"/>
                <w:lang w:val="en-US" w:eastAsia="sv-SE"/>
              </w:rPr>
            </w:pPr>
            <w:hyperlink r:id="rId48" w:history="1">
              <w:r w:rsidR="00816DBE">
                <w:rPr>
                  <w:rStyle w:val="Hyperlink"/>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6D12EE">
            <w:pPr>
              <w:jc w:val="left"/>
              <w:rPr>
                <w:rStyle w:val="Hyperlink"/>
                <w:color w:val="0000FF"/>
                <w:lang w:val="en-US" w:eastAsia="sv-SE"/>
              </w:rPr>
            </w:pPr>
            <w:hyperlink r:id="rId49" w:history="1">
              <w:r w:rsidR="00816DBE">
                <w:rPr>
                  <w:rStyle w:val="Hyperlink"/>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14:paraId="02B739C4" w14:textId="77777777" w:rsidR="001C2401" w:rsidRDefault="006D12EE">
            <w:pPr>
              <w:jc w:val="left"/>
              <w:rPr>
                <w:rStyle w:val="Hyperlink"/>
                <w:color w:val="0000FF"/>
                <w:lang w:val="en-US" w:eastAsia="sv-SE"/>
              </w:rPr>
            </w:pPr>
            <w:hyperlink r:id="rId50" w:history="1">
              <w:r w:rsidR="00816DBE">
                <w:rPr>
                  <w:rStyle w:val="Hyperlink"/>
                  <w:color w:val="0000FF"/>
                </w:rPr>
                <w:t>R1-2303</w:t>
              </w:r>
            </w:hyperlink>
            <w:r w:rsidR="00816DBE">
              <w:rPr>
                <w:rStyle w:val="Hyperlink"/>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1" w:history="1">
              <w:r>
                <w:rPr>
                  <w:rStyle w:val="Hyperlink"/>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6D12EE">
            <w:pPr>
              <w:jc w:val="left"/>
              <w:rPr>
                <w:rStyle w:val="Hyperlink"/>
                <w:color w:val="0000FF"/>
                <w:lang w:val="en-US" w:eastAsia="sv-SE"/>
              </w:rPr>
            </w:pPr>
            <w:hyperlink r:id="rId52" w:history="1">
              <w:r w:rsidR="00816DBE">
                <w:rPr>
                  <w:rStyle w:val="Hyperlink"/>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6D12EE">
            <w:pPr>
              <w:jc w:val="left"/>
              <w:rPr>
                <w:rStyle w:val="Hyperlink"/>
                <w:color w:val="0000FF"/>
                <w:lang w:val="en-US" w:eastAsia="sv-SE"/>
              </w:rPr>
            </w:pPr>
            <w:hyperlink r:id="rId53" w:history="1">
              <w:r w:rsidR="00816DBE">
                <w:rPr>
                  <w:rStyle w:val="Hyperlink"/>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6D12EE">
            <w:pPr>
              <w:jc w:val="left"/>
              <w:rPr>
                <w:color w:val="000000"/>
                <w:lang w:val="en-US"/>
              </w:rPr>
            </w:pPr>
            <w:hyperlink r:id="rId54" w:history="1">
              <w:r w:rsidR="00816DBE">
                <w:rPr>
                  <w:rStyle w:val="Hyperlink"/>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6D12EE">
            <w:pPr>
              <w:jc w:val="left"/>
              <w:rPr>
                <w:color w:val="000000"/>
                <w:lang w:val="en-US"/>
              </w:rPr>
            </w:pPr>
            <w:hyperlink r:id="rId55" w:history="1">
              <w:r w:rsidR="00816DBE">
                <w:rPr>
                  <w:rStyle w:val="Hyperlink"/>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6D12EE">
            <w:pPr>
              <w:jc w:val="left"/>
              <w:rPr>
                <w:rStyle w:val="Hyperlink"/>
                <w:color w:val="0000FF"/>
              </w:rPr>
            </w:pPr>
            <w:hyperlink r:id="rId56" w:history="1">
              <w:r w:rsidR="00816DBE">
                <w:rPr>
                  <w:rStyle w:val="Hyperlink"/>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6D12EE">
            <w:pPr>
              <w:jc w:val="left"/>
            </w:pPr>
            <w:hyperlink r:id="rId57" w:history="1">
              <w:r w:rsidR="00816DBE">
                <w:rPr>
                  <w:rStyle w:val="Hyperlink"/>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6D12EE">
            <w:pPr>
              <w:jc w:val="left"/>
            </w:pPr>
            <w:hyperlink r:id="rId59" w:history="1">
              <w:r w:rsidR="00816DBE">
                <w:rPr>
                  <w:rStyle w:val="Hyperlink"/>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t>[38]</w:t>
            </w:r>
          </w:p>
        </w:tc>
        <w:tc>
          <w:tcPr>
            <w:tcW w:w="1456" w:type="dxa"/>
            <w:tcMar>
              <w:top w:w="0" w:type="dxa"/>
              <w:left w:w="70" w:type="dxa"/>
              <w:bottom w:w="0" w:type="dxa"/>
              <w:right w:w="70" w:type="dxa"/>
            </w:tcMar>
          </w:tcPr>
          <w:p w14:paraId="7D523F8C" w14:textId="77777777" w:rsidR="001C2401" w:rsidRDefault="006D12EE">
            <w:pPr>
              <w:jc w:val="left"/>
            </w:pPr>
            <w:hyperlink r:id="rId61" w:history="1">
              <w:r w:rsidR="00816DBE">
                <w:rPr>
                  <w:rStyle w:val="Hyperlink"/>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6D12EE">
            <w:pPr>
              <w:jc w:val="left"/>
            </w:pPr>
            <w:hyperlink r:id="rId63"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6D12EE">
            <w:pPr>
              <w:jc w:val="left"/>
            </w:pPr>
            <w:hyperlink r:id="rId64" w:history="1">
              <w:r w:rsidR="00816DBE">
                <w:rPr>
                  <w:rStyle w:val="Hyperlink"/>
                  <w:color w:val="0000FF"/>
                </w:rPr>
                <w:t>R1-2303933</w:t>
              </w:r>
            </w:hyperlink>
            <w:r w:rsidR="00816DBE">
              <w:br/>
            </w:r>
            <w:r w:rsidR="00816DBE">
              <w:lastRenderedPageBreak/>
              <w:t>(</w:t>
            </w:r>
            <w:hyperlink r:id="rId65" w:history="1">
              <w:r w:rsidR="00816DBE">
                <w:rPr>
                  <w:rStyle w:val="Hyperlink"/>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lastRenderedPageBreak/>
              <w:t xml:space="preserve">FL summary #1 on Rel-18 RedCap UE complexity </w:t>
            </w:r>
            <w:r>
              <w:lastRenderedPageBreak/>
              <w:t>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lastRenderedPageBreak/>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4A79" w14:textId="77777777" w:rsidR="006D12EE" w:rsidRDefault="006D12EE" w:rsidP="005F4750">
      <w:pPr>
        <w:spacing w:after="0" w:line="240" w:lineRule="auto"/>
      </w:pPr>
      <w:r>
        <w:separator/>
      </w:r>
    </w:p>
  </w:endnote>
  <w:endnote w:type="continuationSeparator" w:id="0">
    <w:p w14:paraId="5C671ABB" w14:textId="77777777" w:rsidR="006D12EE" w:rsidRDefault="006D12EE"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E6AB8" w14:textId="77777777" w:rsidR="006D12EE" w:rsidRDefault="006D12EE" w:rsidP="005F4750">
      <w:pPr>
        <w:spacing w:after="0" w:line="240" w:lineRule="auto"/>
      </w:pPr>
      <w:r>
        <w:separator/>
      </w:r>
    </w:p>
  </w:footnote>
  <w:footnote w:type="continuationSeparator" w:id="0">
    <w:p w14:paraId="6ADF38B5" w14:textId="77777777" w:rsidR="006D12EE" w:rsidRDefault="006D12EE"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4"/>
    <w:lvlOverride w:ilvl="0">
      <w:startOverride w:val="1"/>
    </w:lvlOverride>
  </w:num>
  <w:num w:numId="7">
    <w:abstractNumId w:val="25"/>
  </w:num>
  <w:num w:numId="8">
    <w:abstractNumId w:val="33"/>
  </w:num>
  <w:num w:numId="9">
    <w:abstractNumId w:val="45"/>
  </w:num>
  <w:num w:numId="10">
    <w:abstractNumId w:val="47"/>
  </w:num>
  <w:num w:numId="11">
    <w:abstractNumId w:val="35"/>
  </w:num>
  <w:num w:numId="12">
    <w:abstractNumId w:val="21"/>
  </w:num>
  <w:num w:numId="13">
    <w:abstractNumId w:val="28"/>
  </w:num>
  <w:num w:numId="14">
    <w:abstractNumId w:val="16"/>
  </w:num>
  <w:num w:numId="15">
    <w:abstractNumId w:val="38"/>
  </w:num>
  <w:num w:numId="16">
    <w:abstractNumId w:val="3"/>
  </w:num>
  <w:num w:numId="17">
    <w:abstractNumId w:val="18"/>
  </w:num>
  <w:num w:numId="18">
    <w:abstractNumId w:val="9"/>
  </w:num>
  <w:num w:numId="19">
    <w:abstractNumId w:val="17"/>
  </w:num>
  <w:num w:numId="20">
    <w:abstractNumId w:val="39"/>
  </w:num>
  <w:num w:numId="21">
    <w:abstractNumId w:val="34"/>
  </w:num>
  <w:num w:numId="22">
    <w:abstractNumId w:val="41"/>
  </w:num>
  <w:num w:numId="23">
    <w:abstractNumId w:val="29"/>
  </w:num>
  <w:num w:numId="24">
    <w:abstractNumId w:val="2"/>
  </w:num>
  <w:num w:numId="25">
    <w:abstractNumId w:val="37"/>
  </w:num>
  <w:num w:numId="26">
    <w:abstractNumId w:val="40"/>
  </w:num>
  <w:num w:numId="27">
    <w:abstractNumId w:val="31"/>
  </w:num>
  <w:num w:numId="28">
    <w:abstractNumId w:val="32"/>
  </w:num>
  <w:num w:numId="29">
    <w:abstractNumId w:val="5"/>
  </w:num>
  <w:num w:numId="30">
    <w:abstractNumId w:val="10"/>
  </w:num>
  <w:num w:numId="31">
    <w:abstractNumId w:val="36"/>
  </w:num>
  <w:num w:numId="32">
    <w:abstractNumId w:val="49"/>
  </w:num>
  <w:num w:numId="33">
    <w:abstractNumId w:val="48"/>
  </w:num>
  <w:num w:numId="34">
    <w:abstractNumId w:val="43"/>
  </w:num>
  <w:num w:numId="35">
    <w:abstractNumId w:val="42"/>
  </w:num>
  <w:num w:numId="36">
    <w:abstractNumId w:val="7"/>
  </w:num>
  <w:num w:numId="37">
    <w:abstractNumId w:val="46"/>
  </w:num>
  <w:num w:numId="38">
    <w:abstractNumId w:val="20"/>
  </w:num>
  <w:num w:numId="39">
    <w:abstractNumId w:val="13"/>
  </w:num>
  <w:num w:numId="40">
    <w:abstractNumId w:val="44"/>
  </w:num>
  <w:num w:numId="41">
    <w:abstractNumId w:val="23"/>
  </w:num>
  <w:num w:numId="42">
    <w:abstractNumId w:val="8"/>
  </w:num>
  <w:num w:numId="43">
    <w:abstractNumId w:val="14"/>
  </w:num>
  <w:num w:numId="44">
    <w:abstractNumId w:val="26"/>
  </w:num>
  <w:num w:numId="45">
    <w:abstractNumId w:val="50"/>
  </w:num>
  <w:num w:numId="46">
    <w:abstractNumId w:val="30"/>
  </w:num>
  <w:num w:numId="47">
    <w:abstractNumId w:val="27"/>
  </w:num>
  <w:num w:numId="48">
    <w:abstractNumId w:val="4"/>
  </w:num>
  <w:num w:numId="49">
    <w:abstractNumId w:val="11"/>
  </w:num>
  <w:num w:numId="50">
    <w:abstractNumId w:val="12"/>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39</Pages>
  <Words>15115</Words>
  <Characters>86162</Characters>
  <Application>Microsoft Office Word</Application>
  <DocSecurity>0</DocSecurity>
  <Lines>718</Lines>
  <Paragraphs>202</Paragraphs>
  <ScaleCrop>false</ScaleCrop>
  <Company/>
  <LinksUpToDate>false</LinksUpToDate>
  <CharactersWithSpaces>101075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47</cp:revision>
  <dcterms:created xsi:type="dcterms:W3CDTF">2023-04-18T07:42:00Z</dcterms:created>
  <dcterms:modified xsi:type="dcterms:W3CDTF">2023-04-18T14:55:00Z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