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pt-BR" w:eastAsia="en-US"/>
        </w:rPr>
      </w:pPr>
      <w:r>
        <w:rPr>
          <w:rFonts w:ascii="Arial" w:hAnsi="Arial" w:eastAsia="Malgun Gothic" w:cs="Arial"/>
          <w:b/>
          <w:bCs/>
          <w:lang w:val="pt-BR" w:eastAsia="en-US"/>
        </w:rPr>
        <w:t>3GPP TSG RAN WG1 #1</w:t>
      </w:r>
      <w:r>
        <w:rPr>
          <w:rFonts w:hint="eastAsia" w:ascii="Arial" w:hAnsi="Arial" w:eastAsia="MS Mincho" w:cs="Arial"/>
          <w:b/>
          <w:bCs/>
          <w:lang w:val="pt-BR"/>
        </w:rPr>
        <w:t>1</w:t>
      </w:r>
      <w:r>
        <w:rPr>
          <w:rFonts w:ascii="Arial" w:hAnsi="Arial" w:eastAsia="MS Mincho" w:cs="Arial"/>
          <w:b/>
          <w:bCs/>
          <w:lang w:val="pt-BR"/>
        </w:rPr>
        <w:t>2</w:t>
      </w:r>
      <w:r>
        <w:rPr>
          <w:rFonts w:hint="eastAsia" w:ascii="Arial" w:hAnsi="Arial" w:eastAsia="MS Mincho" w:cs="Arial"/>
          <w:b/>
          <w:bCs/>
          <w:lang w:val="pt-BR"/>
        </w:rPr>
        <w:t>b</w:t>
      </w:r>
      <w:r>
        <w:rPr>
          <w:rFonts w:ascii="Arial" w:hAnsi="Arial" w:eastAsia="MS Mincho" w:cs="Arial"/>
          <w:b/>
          <w:bCs/>
          <w:lang w:val="pt-BR"/>
        </w:rPr>
        <w:t>is-e</w:t>
      </w:r>
      <w:r>
        <w:rPr>
          <w:rFonts w:ascii="Arial" w:hAnsi="Arial" w:eastAsia="Malgun Gothic" w:cs="Arial"/>
          <w:b/>
          <w:bCs/>
          <w:lang w:val="pt-BR" w:eastAsia="en-US"/>
        </w:rPr>
        <w:tab/>
      </w:r>
      <w:r>
        <w:rPr>
          <w:rFonts w:ascii="Arial" w:hAnsi="Arial" w:eastAsia="Malgun Gothic" w:cs="Arial"/>
          <w:b/>
          <w:bCs/>
          <w:lang w:val="pt-BR" w:eastAsia="en-US"/>
        </w:rPr>
        <w:tab/>
      </w:r>
      <w:r>
        <w:rPr>
          <w:rFonts w:ascii="Arial" w:hAnsi="Arial" w:eastAsia="Malgun Gothic" w:cs="Arial"/>
          <w:b/>
          <w:bCs/>
          <w:lang w:val="pt-BR" w:eastAsia="en-US"/>
        </w:rPr>
        <w:tab/>
      </w:r>
      <w:r>
        <w:rPr>
          <w:rFonts w:ascii="Arial" w:hAnsi="Arial" w:eastAsia="Malgun Gothic" w:cs="Arial"/>
          <w:b/>
          <w:bCs/>
          <w:lang w:val="pt-BR" w:eastAsia="en-US"/>
        </w:rPr>
        <w:t>R1-23xxxxx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e-Meeting, April</w:t>
      </w:r>
      <w:r>
        <w:rPr>
          <w:rFonts w:ascii="Arial" w:hAnsi="Arial" w:eastAsia="Malgun Gothic" w:cs="Arial"/>
          <w:b/>
          <w:bCs/>
          <w:lang w:eastAsia="en-US"/>
        </w:rPr>
        <w:t xml:space="preserve"> 17</w:t>
      </w:r>
      <w:r>
        <w:rPr>
          <w:rFonts w:ascii="Arial" w:hAnsi="Arial" w:eastAsia="Malgun Gothic" w:cs="Arial"/>
          <w:b/>
          <w:bCs/>
          <w:vertAlign w:val="superscript"/>
          <w:lang w:eastAsia="en-US"/>
        </w:rPr>
        <w:t>th</w:t>
      </w:r>
      <w:r>
        <w:rPr>
          <w:rFonts w:ascii="Arial" w:hAnsi="Arial" w:eastAsia="Malgun Gothic" w:cs="Arial"/>
          <w:b/>
          <w:bCs/>
          <w:lang w:eastAsia="en-US"/>
        </w:rPr>
        <w:t xml:space="preserve"> – </w:t>
      </w:r>
      <w:r>
        <w:rPr>
          <w:rFonts w:ascii="Arial" w:hAnsi="Arial" w:eastAsia="Malgun Gothic" w:cs="Arial"/>
          <w:b/>
          <w:bCs/>
          <w:lang w:val="en-US" w:eastAsia="en-US"/>
        </w:rPr>
        <w:t>April 26</w:t>
      </w:r>
      <w:r>
        <w:rPr>
          <w:rFonts w:ascii="Arial" w:hAnsi="Arial" w:eastAsia="Malgun Gothic" w:cs="Arial"/>
          <w:b/>
          <w:bCs/>
          <w:vertAlign w:val="superscript"/>
          <w:lang w:val="en-US" w:eastAsia="en-US"/>
        </w:rPr>
        <w:t>th</w:t>
      </w:r>
      <w:r>
        <w:rPr>
          <w:rFonts w:ascii="Arial" w:hAnsi="Arial" w:eastAsia="Malgun Gothic" w:cs="Arial"/>
          <w:b/>
          <w:bCs/>
          <w:lang w:eastAsia="en-US"/>
        </w:rPr>
        <w:t>, 2023</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MS Mincho"/>
          <w:lang w:val="pt-PT"/>
        </w:rPr>
        <w:t>9</w:t>
      </w:r>
      <w:r>
        <w:rPr>
          <w:rFonts w:ascii="Arial" w:hAnsi="Arial" w:eastAsia="Malgun Gothic"/>
          <w:lang w:val="pt-PT" w:eastAsia="ko-KR"/>
        </w:rPr>
        <w:t>.1</w:t>
      </w:r>
      <w:r>
        <w:rPr>
          <w:rFonts w:ascii="Arial" w:hAnsi="Arial" w:eastAsiaTheme="minorEastAsia"/>
          <w:lang w:val="pt-PT"/>
        </w:rPr>
        <w:t>7.16</w:t>
      </w:r>
    </w:p>
    <w:p>
      <w:pPr>
        <w:tabs>
          <w:tab w:val="left" w:pos="1985"/>
        </w:tabs>
        <w:spacing w:after="120" w:line="288" w:lineRule="auto"/>
        <w:ind w:left="2040" w:hanging="2041" w:hangingChars="850"/>
        <w:jc w:val="both"/>
        <w:rPr>
          <w:rFonts w:ascii="Arial" w:hAnsi="Arial" w:eastAsia="宋体"/>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cs="Arial" w:eastAsiaTheme="minorEastAsia"/>
          <w:bCs/>
          <w:szCs w:val="24"/>
          <w:lang w:val="en-US"/>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[draft] Summary #1 on UE features for TEIs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9.17.16 regarding other UE features and captures the following email discussion</w:t>
      </w:r>
      <w:r>
        <w:rPr>
          <w:rFonts w:hint="eastAsia" w:eastAsia="MS Mincho"/>
          <w:sz w:val="22"/>
          <w:szCs w:val="22"/>
          <w:lang w:val="en-US"/>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[112bis-e-R18-UE_features-05] Email discussion on UE features for TEIs by April 26 – Shinya (DOCOMO)</w:t>
            </w:r>
          </w:p>
          <w:p>
            <w:pPr>
              <w:numPr>
                <w:ilvl w:val="0"/>
                <w:numId w:val="12"/>
              </w:num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Check points: April 21, April 26</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pPr>
        <w:pStyle w:val="95"/>
        <w:numPr>
          <w:ilvl w:val="0"/>
          <w:numId w:val="13"/>
        </w:numPr>
        <w:spacing w:after="120" w:afterLines="50"/>
        <w:ind w:leftChars="0"/>
        <w:jc w:val="both"/>
        <w:rPr>
          <w:rFonts w:eastAsia="MS Mincho"/>
          <w:sz w:val="22"/>
          <w:szCs w:val="22"/>
          <w:lang w:val="en-US"/>
        </w:rPr>
      </w:pPr>
      <w:bookmarkStart w:id="2" w:name="_Hlk85011108"/>
      <w:r>
        <w:rPr>
          <w:rFonts w:hint="eastAsia" w:eastAsia="MS Mincho"/>
          <w:sz w:val="22"/>
          <w:szCs w:val="22"/>
          <w:lang w:val="en-US"/>
        </w:rPr>
        <w:t>F</w:t>
      </w:r>
      <w:r>
        <w:rPr>
          <w:rFonts w:eastAsia="MS Mincho"/>
          <w:sz w:val="22"/>
          <w:szCs w:val="22"/>
          <w:lang w:val="en-US"/>
        </w:rPr>
        <w:t>Gs for SR periodicity</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r>
      <w:r>
        <w:rPr>
          <w:rFonts w:eastAsia="MS Mincho"/>
          <w:sz w:val="22"/>
          <w:szCs w:val="22"/>
          <w:lang w:val="en-US"/>
        </w:rPr>
        <w:t>additionalSR-Periodicities-r18</w:t>
      </w:r>
    </w:p>
    <w:bookmarkEnd w:id="2"/>
    <w:p>
      <w:pPr>
        <w:pStyle w:val="95"/>
        <w:numPr>
          <w:ilvl w:val="0"/>
          <w:numId w:val="13"/>
        </w:numPr>
        <w:spacing w:after="120" w:afterLines="50"/>
        <w:ind w:leftChars="0"/>
        <w:jc w:val="both"/>
        <w:rPr>
          <w:rFonts w:eastAsia="MS Mincho"/>
          <w:sz w:val="22"/>
          <w:szCs w:val="22"/>
          <w:lang w:val="en-US"/>
        </w:rPr>
      </w:pPr>
      <w:r>
        <w:rPr>
          <w:rFonts w:hint="eastAsia" w:eastAsia="MS Mincho"/>
          <w:sz w:val="22"/>
          <w:szCs w:val="22"/>
          <w:lang w:val="en-US"/>
        </w:rPr>
        <w:t>F</w:t>
      </w:r>
      <w:r>
        <w:rPr>
          <w:rFonts w:eastAsia="MS Mincho"/>
          <w:sz w:val="22"/>
          <w:szCs w:val="22"/>
          <w:lang w:val="en-US"/>
        </w:rPr>
        <w:t>Gs for 1-symbol PRS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r>
      <w:r>
        <w:rPr>
          <w:rFonts w:eastAsia="MS Mincho"/>
          <w:sz w:val="22"/>
          <w:szCs w:val="22"/>
          <w:lang w:val="en-US"/>
        </w:rPr>
        <w:t>1-symbol PRS</w:t>
      </w:r>
    </w:p>
    <w:p>
      <w:pPr>
        <w:spacing w:after="120" w:afterLines="50"/>
        <w:jc w:val="both"/>
        <w:rPr>
          <w:rFonts w:eastAsia="MS Mincho"/>
          <w:sz w:val="22"/>
          <w:szCs w:val="22"/>
          <w:lang w:val="en-US"/>
        </w:rPr>
      </w:pPr>
    </w:p>
    <w:p>
      <w:pPr>
        <w:rPr>
          <w:sz w:val="22"/>
        </w:rPr>
        <w:sectPr>
          <w:headerReference r:id="rId7" w:type="first"/>
          <w:footerReference r:id="rId10" w:type="first"/>
          <w:headerReference r:id="rId5" w:type="default"/>
          <w:footerReference r:id="rId8" w:type="default"/>
          <w:headerReference r:id="rId6" w:type="even"/>
          <w:footerReference r:id="rId9" w:type="even"/>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eastAsia="MS Mincho"/>
          <w:b/>
          <w:bCs/>
          <w:szCs w:val="24"/>
          <w:lang w:val="en-US"/>
        </w:rPr>
        <w:t>FGs for SR periodicity</w:t>
      </w:r>
    </w:p>
    <w:p>
      <w:pPr>
        <w:spacing w:after="120" w:afterLines="5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87"/>
        <w:gridCol w:w="1409"/>
        <w:gridCol w:w="2599"/>
        <w:gridCol w:w="1371"/>
        <w:gridCol w:w="1407"/>
        <w:gridCol w:w="1653"/>
        <w:gridCol w:w="2540"/>
        <w:gridCol w:w="2119"/>
        <w:gridCol w:w="1551"/>
        <w:gridCol w:w="1546"/>
        <w:gridCol w:w="1813"/>
        <w:gridCol w:w="103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1814"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1037"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w:t>
            </w:r>
            <w:r>
              <w:rPr>
                <w:rFonts w:eastAsia="MS Mincho" w:asciiTheme="majorHAnsi" w:hAnsiTheme="majorHAnsi" w:cstheme="majorHAnsi"/>
                <w:color w:val="000000" w:themeColor="text1"/>
                <w:szCs w:val="18"/>
                <w:lang w:val="en-US" w:eastAsia="ja-JP"/>
                <w14:textFill>
                  <w14:solidFill>
                    <w14:schemeClr w14:val="tx1"/>
                  </w14:solidFill>
                </w14:textFill>
              </w:rPr>
              <w:t>5</w:t>
            </w:r>
            <w:r>
              <w:rPr>
                <w:rFonts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val="en-US" w:eastAsia="ja-JP"/>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bCs/>
                <w:i/>
                <w:szCs w:val="18"/>
              </w:rPr>
            </w:pPr>
            <w:r>
              <w:rPr>
                <w:rFonts w:asciiTheme="majorHAnsi" w:hAnsiTheme="majorHAnsi" w:cstheme="majorHAnsi"/>
                <w:bCs/>
                <w:i/>
                <w:szCs w:val="18"/>
              </w:rPr>
              <w:t>additionalSR-Periodicities-r18</w:t>
            </w:r>
          </w:p>
          <w:p>
            <w:pPr>
              <w:pStyle w:val="114"/>
              <w:spacing w:after="0"/>
              <w:rPr>
                <w:rFonts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pPr>
              <w:pStyle w:val="114"/>
              <w:spacing w:after="0"/>
              <w:rPr>
                <w:rFonts w:asciiTheme="majorHAnsi" w:hAnsiTheme="majorHAnsi" w:cstheme="majorHAnsi"/>
                <w:szCs w:val="18"/>
              </w:rPr>
            </w:pPr>
            <w:r>
              <w:rPr>
                <w:rFonts w:asciiTheme="majorHAnsi" w:hAnsiTheme="majorHAnsi" w:cstheme="majorHAnsi"/>
                <w:szCs w:val="18"/>
              </w:rPr>
              <w:t>-5sl for 30 kHz SCS</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sz w:val="18"/>
                <w:szCs w:val="18"/>
              </w:rPr>
              <w:t>-5sl and 10sl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pPr>
              <w:pStyle w:val="114"/>
              <w:spacing w:after="0"/>
              <w:rPr>
                <w:rFonts w:asciiTheme="majorHAnsi" w:hAnsiTheme="majorHAnsi" w:cstheme="majorHAnsi"/>
                <w:szCs w:val="18"/>
              </w:rPr>
            </w:pPr>
            <w:r>
              <w:rPr>
                <w:rFonts w:asciiTheme="majorHAnsi" w:hAnsiTheme="majorHAnsi" w:cstheme="majorHAnsi"/>
                <w:szCs w:val="18"/>
              </w:rPr>
              <w:t xml:space="preserve">Legacy behaviour applies. </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1814"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Optional</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E</w:t>
            </w:r>
            <w:r>
              <w:rPr>
                <w:rFonts w:eastAsia="MS Mincho"/>
                <w:sz w:val="22"/>
              </w:rPr>
              <w:t>ricsson</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szCs w:val="22"/>
                <w:lang w:eastAsia="zh-CN"/>
              </w:rPr>
            </w:pPr>
            <w:r>
              <w:rPr>
                <w:rFonts w:eastAsia="宋体"/>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values {5, 10}</w:t>
            </w:r>
          </w:p>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 {5}</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2-1: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4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w:t>
            </w:r>
            <w:r>
              <w:rPr>
                <w:rFonts w:eastAsia="宋体"/>
                <w:szCs w:val="21"/>
                <w:lang w:val="en-US" w:eastAsia="zh-CN"/>
              </w:rPr>
              <w:t>TE</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Agree with ZTE but have not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val="en-US" w:eastAsia="zh-CN"/>
              </w:rPr>
            </w:pPr>
            <w:r>
              <w:rPr>
                <w:rFonts w:eastAsia="宋体"/>
                <w:szCs w:val="21"/>
                <w:lang w:val="en-US" w:eastAsia="zh-CN"/>
              </w:rPr>
              <w:t>MediaTek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think at least </w:t>
            </w:r>
            <w:r>
              <w:rPr>
                <w:rFonts w:eastAsia="宋体"/>
                <w:b/>
                <w:bCs/>
                <w:color w:val="000000" w:themeColor="text1"/>
                <w:lang w:val="en-US" w:eastAsia="zh-CN"/>
                <w14:textFill>
                  <w14:solidFill>
                    <w14:schemeClr w14:val="tx1"/>
                  </w14:solidFill>
                </w14:textFill>
              </w:rPr>
              <w:t>FR1/FR2 differentiation is needed</w:t>
            </w:r>
            <w:r>
              <w:rPr>
                <w:rFonts w:eastAsia="宋体"/>
                <w:color w:val="000000" w:themeColor="text1"/>
                <w:lang w:val="en-US" w:eastAsia="zh-CN"/>
                <w14:textFill>
                  <w14:solidFill>
                    <w14:schemeClr w14:val="tx1"/>
                  </w14:solidFill>
                </w14:textFill>
              </w:rPr>
              <w:t xml:space="preserve"> to facilitate IODT process. FR2 may not be supported by some products and should not be mandated if UE wants to indicate the support for this new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textAlignment w:val="baseline"/>
              <w:rPr>
                <w:rFonts w:eastAsia="宋体"/>
                <w:szCs w:val="21"/>
                <w:lang w:eastAsia="zh-CN"/>
              </w:rPr>
            </w:pPr>
            <w:r>
              <w:rPr>
                <w:rFonts w:eastAsia="宋体"/>
                <w:szCs w:val="21"/>
                <w:lang w:val="zh-CN" w:eastAsia="zh-CN"/>
              </w:rPr>
              <w:t>Nokia, NSB</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If the capability is per UE without any differentiation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Huawei, HiSilicon</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w:t>
            </w:r>
            <w:r>
              <w:rPr>
                <w:color w:val="000000" w:themeColor="text1"/>
                <w:szCs w:val="18"/>
                <w14:textFill>
                  <w14:solidFill>
                    <w14:schemeClr w14:val="tx1"/>
                  </w14:solidFill>
                </w14:textFill>
              </w:rPr>
              <w:t>Need of FR1/FR2 differentiation</w:t>
            </w:r>
            <w:r>
              <w:rPr>
                <w:rFonts w:eastAsia="宋体"/>
                <w:color w:val="000000" w:themeColor="text1"/>
                <w:lang w:val="en-US" w:eastAsia="zh-CN"/>
                <w14:textFill>
                  <w14:solidFill>
                    <w14:schemeClr w14:val="tx1"/>
                  </w14:solidFill>
                </w14:textFill>
              </w:rPr>
              <w:t>” should be yes in order to facilitate UE report differently for different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QC</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above proposal. The type for a UE feature should be at least per band (if not with finer granularity type), given the potential UE testing differentiation among licensed, unlicensed, and NTN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4495"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S</w:t>
            </w:r>
            <w:r>
              <w:rPr>
                <w:rFonts w:eastAsiaTheme="minorEastAsia"/>
                <w:color w:val="000000" w:themeColor="text1"/>
                <w:lang w:val="en-US"/>
                <w14:textFill>
                  <w14:solidFill>
                    <w14:schemeClr w14:val="tx1"/>
                  </w14:solidFill>
                </w14:textFill>
              </w:rPr>
              <w:t>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R</w:t>
            </w:r>
            <w:r>
              <w:rPr>
                <w:rFonts w:eastAsiaTheme="minorEastAsia"/>
                <w:color w:val="000000" w:themeColor="text1"/>
                <w:lang w:val="en-US"/>
                <w14:textFill>
                  <w14:solidFill>
                    <w14:schemeClr w14:val="tx1"/>
                  </w14:solidFill>
                </w14:textFill>
              </w:rPr>
              <w:t>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P</w:t>
            </w:r>
            <w:r>
              <w:rPr>
                <w:rFonts w:eastAsiaTheme="minorEastAsia"/>
                <w:color w:val="000000" w:themeColor="text1"/>
                <w:lang w:val="en-US"/>
                <w14:textFill>
                  <w14:solidFill>
                    <w14:schemeClr w14:val="tx1"/>
                  </w14:solidFill>
                </w14:textFill>
              </w:rPr>
              <w:t>er UE without FR1/FR2 differentiation: ZTE. E///</w:t>
            </w:r>
          </w:p>
          <w:p>
            <w:pPr>
              <w:pStyle w:val="95"/>
              <w:numPr>
                <w:ilvl w:val="2"/>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With component values as </w:t>
            </w:r>
            <w:r>
              <w:rPr>
                <w:rFonts w:eastAsia="宋体"/>
                <w:color w:val="000000" w:themeColor="text1"/>
                <w:lang w:val="en-US" w:eastAsia="zh-CN"/>
                <w14:textFill>
                  <w14:solidFill>
                    <w14:schemeClr w14:val="tx1"/>
                  </w14:solidFill>
                </w14:textFill>
              </w:rPr>
              <w:t>{120 kHz SCS, 30 kHz SCS, both}: Nokia/NSB</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P</w:t>
            </w:r>
            <w:r>
              <w:rPr>
                <w:rFonts w:eastAsiaTheme="minorEastAsia"/>
                <w:color w:val="000000" w:themeColor="text1"/>
                <w:lang w:val="en-US"/>
                <w14:textFill>
                  <w14:solidFill>
                    <w14:schemeClr w14:val="tx1"/>
                  </w14:solidFill>
                </w14:textFill>
              </w:rPr>
              <w:t>er UE with FR1/FR2 differentiation: MTK, HW/HiSi</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P</w:t>
            </w:r>
            <w:r>
              <w:rPr>
                <w:rFonts w:eastAsiaTheme="minorEastAsia"/>
                <w:color w:val="000000" w:themeColor="text1"/>
                <w:lang w:val="en-US"/>
                <w14:textFill>
                  <w14:solidFill>
                    <w14:schemeClr w14:val="tx1"/>
                  </w14:solidFill>
                </w14:textFill>
              </w:rPr>
              <w:t>er band: QC</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Prerequisite FG</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A</w:t>
            </w:r>
            <w:r>
              <w:rPr>
                <w:rFonts w:eastAsiaTheme="minorEastAsia"/>
                <w:color w:val="000000" w:themeColor="text1"/>
                <w:lang w:val="en-US"/>
                <w14:textFill>
                  <w14:solidFill>
                    <w14:schemeClr w14:val="tx1"/>
                  </w14:solidFill>
                </w14:textFill>
              </w:rPr>
              <w:t>dd FG4-1 (Basic UL control channel): Nokia/NSB?</w:t>
            </w:r>
          </w:p>
          <w:p>
            <w:pPr>
              <w:pStyle w:val="95"/>
              <w:numPr>
                <w:ilvl w:val="2"/>
                <w:numId w:val="16"/>
              </w:numPr>
              <w:overflowPunct w:val="0"/>
              <w:autoSpaceDE w:val="0"/>
              <w:autoSpaceDN w:val="0"/>
              <w:adjustRightInd w:val="0"/>
              <w:spacing w:after="0"/>
              <w:ind w:leftChars="0"/>
              <w:textAlignment w:val="baseline"/>
              <w:rPr>
                <w:rFonts w:eastAsiaTheme="minorEastAsia"/>
                <w:i/>
                <w:iCs/>
                <w:color w:val="000000" w:themeColor="text1"/>
                <w:lang w:val="en-US"/>
                <w14:textFill>
                  <w14:solidFill>
                    <w14:schemeClr w14:val="tx1"/>
                  </w14:solidFill>
                </w14:textFill>
              </w:rPr>
            </w:pPr>
            <w:r>
              <w:rPr>
                <w:rFonts w:hint="eastAsia" w:eastAsiaTheme="minorEastAsia"/>
                <w:i/>
                <w:iCs/>
                <w:color w:val="000000" w:themeColor="text1"/>
                <w:lang w:val="en-US"/>
                <w14:textFill>
                  <w14:solidFill>
                    <w14:schemeClr w14:val="tx1"/>
                  </w14:solidFill>
                </w14:textFill>
              </w:rPr>
              <w:t>M</w:t>
            </w:r>
            <w:r>
              <w:rPr>
                <w:rFonts w:eastAsiaTheme="minorEastAsia"/>
                <w:i/>
                <w:iCs/>
                <w:color w:val="000000" w:themeColor="text1"/>
                <w:lang w:val="en-US"/>
                <w14:textFill>
                  <w14:solidFill>
                    <w14:schemeClr w14:val="tx1"/>
                  </w14:solidFill>
                </w14:textFill>
              </w:rPr>
              <w:t>oderator’s note: It seems not necessary to add FG4-1 since this FG is Mandatory without capability signalling</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G</w:t>
            </w:r>
            <w:r>
              <w:rPr>
                <w:rFonts w:eastAsiaTheme="minorEastAsia"/>
                <w:color w:val="000000" w:themeColor="text1"/>
                <w:lang w:val="en-US"/>
                <w14:textFill>
                  <w14:solidFill>
                    <w14:schemeClr w14:val="tx1"/>
                  </w14:solidFill>
                </w14:textFill>
              </w:rPr>
              <w:t xml:space="preserve">iven more companies see the necessity for the reporting type finer than </w:t>
            </w:r>
            <w:r>
              <w:rPr>
                <w:rFonts w:hint="eastAsia" w:eastAsiaTheme="minorEastAsia"/>
                <w:color w:val="000000" w:themeColor="text1"/>
                <w:lang w:val="en-US"/>
                <w14:textFill>
                  <w14:solidFill>
                    <w14:schemeClr w14:val="tx1"/>
                  </w14:solidFill>
                </w14:textFill>
              </w:rPr>
              <w:t>P</w:t>
            </w:r>
            <w:r>
              <w:rPr>
                <w:rFonts w:eastAsiaTheme="minorEastAsia"/>
                <w:color w:val="000000" w:themeColor="text1"/>
                <w:lang w:val="en-US"/>
                <w14:textFill>
                  <w14:solidFill>
                    <w14:schemeClr w14:val="tx1"/>
                  </w14:solidFill>
                </w14:textFill>
              </w:rPr>
              <w:t>er UE without FR1/FR2 differentiation, following proposal is made</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2-1: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55-1 with one of the following reporting type</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rFonts w:hint="eastAsia"/>
                <w:b/>
                <w:bCs/>
                <w:color w:val="000000" w:themeColor="text1"/>
                <w:lang w:val="en-US"/>
                <w14:textFill>
                  <w14:solidFill>
                    <w14:schemeClr w14:val="tx1"/>
                  </w14:solidFill>
                </w14:textFill>
              </w:rPr>
              <w:t>O</w:t>
            </w:r>
            <w:r>
              <w:rPr>
                <w:b/>
                <w:bCs/>
                <w:color w:val="000000" w:themeColor="text1"/>
                <w:lang w:val="en-US"/>
                <w14:textFill>
                  <w14:solidFill>
                    <w14:schemeClr w14:val="tx1"/>
                  </w14:solidFill>
                </w14:textFill>
              </w:rPr>
              <w:t>pt1: p</w:t>
            </w:r>
            <w:r>
              <w:rPr>
                <w:rFonts w:eastAsiaTheme="minorEastAsia"/>
                <w:b/>
                <w:bCs/>
                <w:color w:val="000000" w:themeColor="text1"/>
                <w:lang w:val="en-US"/>
                <w14:textFill>
                  <w14:solidFill>
                    <w14:schemeClr w14:val="tx1"/>
                  </w14:solidFill>
                </w14:textFill>
              </w:rPr>
              <w:t>er UE with FR1/FR2 differentiation</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rFonts w:hint="eastAsia"/>
                <w:b/>
                <w:bCs/>
                <w:color w:val="000000" w:themeColor="text1"/>
                <w:lang w:val="en-US"/>
                <w14:textFill>
                  <w14:solidFill>
                    <w14:schemeClr w14:val="tx1"/>
                  </w14:solidFill>
                </w14:textFill>
              </w:rPr>
              <w:t>O</w:t>
            </w:r>
            <w:r>
              <w:rPr>
                <w:b/>
                <w:bCs/>
                <w:color w:val="000000" w:themeColor="text1"/>
                <w:lang w:val="en-US"/>
                <w14:textFill>
                  <w14:solidFill>
                    <w14:schemeClr w14:val="tx1"/>
                  </w14:solidFill>
                </w14:textFill>
              </w:rPr>
              <w:t>pt2: p</w:t>
            </w:r>
            <w:r>
              <w:rPr>
                <w:rFonts w:eastAsiaTheme="minorEastAsia"/>
                <w:b/>
                <w:bCs/>
                <w:color w:val="000000" w:themeColor="text1"/>
                <w:lang w:val="en-US"/>
                <w14:textFill>
                  <w14:solidFill>
                    <w14:schemeClr w14:val="tx1"/>
                  </w14:solidFill>
                </w14:textFill>
              </w:rPr>
              <w:t>er band</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hint="eastAsia" w:eastAsia="宋体"/>
                <w:szCs w:val="21"/>
                <w:lang w:val="en-US" w:eastAsia="zh-CN"/>
              </w:rPr>
            </w:pPr>
            <w:r>
              <w:rPr>
                <w:rFonts w:hint="eastAsia" w:eastAsia="宋体"/>
                <w:szCs w:val="21"/>
                <w:lang w:val="en-US" w:eastAsia="zh-CN"/>
              </w:rPr>
              <w:t>M</w:t>
            </w:r>
            <w:r>
              <w:rPr>
                <w:rFonts w:eastAsia="宋体"/>
                <w:szCs w:val="21"/>
                <w:lang w:val="en-US" w:eastAsia="zh-CN"/>
              </w:rPr>
              <w:t>TK</w:t>
            </w: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w:t>
            </w:r>
            <w:r>
              <w:rPr>
                <w:rFonts w:eastAsia="宋体"/>
                <w:color w:val="000000" w:themeColor="text1"/>
                <w:lang w:val="en-US" w:eastAsia="zh-CN"/>
                <w14:textFill>
                  <w14:solidFill>
                    <w14:schemeClr w14:val="tx1"/>
                  </w14:solidFill>
                </w14:textFill>
              </w:rPr>
              <w:t xml:space="preserve">e agree with QC and hence prefer Opt2 with “per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p>
        </w:tc>
        <w:tc>
          <w:tcPr>
            <w:tcW w:w="4495"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FGs for 1-symbol PRS</w:t>
      </w:r>
    </w:p>
    <w:p>
      <w:pPr>
        <w:spacing w:after="120" w:afterLines="5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87"/>
        <w:gridCol w:w="947"/>
        <w:gridCol w:w="1477"/>
        <w:gridCol w:w="1443"/>
        <w:gridCol w:w="1605"/>
        <w:gridCol w:w="1988"/>
        <w:gridCol w:w="1891"/>
        <w:gridCol w:w="2739"/>
        <w:gridCol w:w="1636"/>
        <w:gridCol w:w="1628"/>
        <w:gridCol w:w="1994"/>
        <w:gridCol w:w="156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eastAsia="宋体" w:asciiTheme="majorHAnsi" w:hAnsiTheme="majorHAnsi" w:cstheme="majorHAnsi"/>
                <w:color w:val="000000" w:themeColor="text1"/>
                <w:szCs w:val="18"/>
                <w:highlight w:val="yellow"/>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ZTE</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lang w:eastAsia="zh-CN"/>
              </w:rPr>
            </w:pPr>
            <w:r>
              <w:rPr>
                <w:rFonts w:eastAsia="宋体"/>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8"/>
              </w:numPr>
              <w:overflowPunct w:val="0"/>
              <w:autoSpaceDE w:val="0"/>
              <w:autoSpaceDN w:val="0"/>
              <w:adjustRightInd w:val="0"/>
              <w:spacing w:after="0" w:line="240" w:lineRule="auto"/>
              <w:ind w:left="714" w:leftChars="0" w:hanging="357"/>
              <w:contextualSpacing/>
              <w:textAlignment w:val="baseline"/>
              <w:rPr>
                <w:sz w:val="22"/>
                <w:szCs w:val="22"/>
              </w:rPr>
            </w:pPr>
            <w:r>
              <w:rPr>
                <w:sz w:val="22"/>
                <w:szCs w:val="22"/>
              </w:rPr>
              <w:t>Support 1-symbol PRS with legacy comb sizes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3-1: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43"/>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19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are fine with the proposed version for FG 55-2 with a small modification – As suggested by Nokia, it’d be good to mention that this is supported for legacy comb sizes. Thus, we suggest to modify the description as: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Support of 1-symbol PRS</w:t>
            </w:r>
            <w:r>
              <w:rPr>
                <w:rFonts w:eastAsia="宋体"/>
                <w:color w:val="FF0000"/>
                <w:lang w:val="en-US" w:eastAsia="zh-CN"/>
              </w:rPr>
              <w:t xml:space="preserve"> with comb sizes from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ZTE</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Support and confirm the yellow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mtk</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1, No need to support 1-symbol DL-PRS for all comb sizes. Remember that for positioning SRS, 1 symbol is supported for comb-2. Then we prefer to support 1 symbol DL-PRS for comb size = 2</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2, 1 symbol with larger comb size has the potential problem of performance. The IFFT size is limited to reduce the SNR boosting capability. The 1 symbol DL-PRS also has limited observation range if comb size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MediaTek2</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prefer to have FR1/FR2 differentiation to facilitate IODT process.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One question: why gNB does not need to know whether this feature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Ericsson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we also agree with Intel to include the comb sizes for clarity.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To MTK: the gNB is not aware that a particular UE is receiving PRS.  This capability is for the location server.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zh-CN" w:eastAsia="zh-CN"/>
              </w:rPr>
            </w:pPr>
            <w:r>
              <w:rPr>
                <w:rFonts w:eastAsia="宋体"/>
                <w:szCs w:val="21"/>
                <w:lang w:val="zh-CN" w:eastAsia="zh-CN"/>
              </w:rPr>
              <w:t>Nokia, NSB</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OK to have FR1/FR2 differentiation as commented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ZTE2</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@mtk 1-symbol PRS with all existing comb sizes is the agreement.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@MediaTek2 We are fine to report this FG to gNB as well since PRS configuration also impacts TS 38.331 which is used for the feature of Propagation delay compensation for IIOT_URLLC. We are fine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w:t>
            </w:r>
            <w:r>
              <w:rPr>
                <w:rFonts w:eastAsia="宋体"/>
                <w:color w:val="000000" w:themeColor="text1"/>
                <w:lang w:val="en-US" w:eastAsia="zh-CN"/>
                <w14:textFill>
                  <w14:solidFill>
                    <w14:schemeClr w14:val="tx1"/>
                  </w14:solidFill>
                </w14:textFill>
              </w:rPr>
              <w:t>K to take per-UE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QC</w:t>
            </w:r>
          </w:p>
        </w:tc>
        <w:tc>
          <w:tcPr>
            <w:tcW w:w="4496"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don’t support the above proposal. The type for a UE feature should be at least per band (if not with finer granularity type), given the potential UE testing differentiation among licensed, unlicensed, and NTN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w:t>
            </w:r>
          </w:p>
        </w:tc>
        <w:tc>
          <w:tcPr>
            <w:tcW w:w="4496"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S</w:t>
            </w:r>
            <w:r>
              <w:rPr>
                <w:rFonts w:eastAsiaTheme="minorEastAsia"/>
                <w:color w:val="000000" w:themeColor="text1"/>
                <w:lang w:val="en-US"/>
                <w14:textFill>
                  <w14:solidFill>
                    <w14:schemeClr w14:val="tx1"/>
                  </w14:solidFill>
                </w14:textFill>
              </w:rPr>
              <w:t>ummary of companies’ view</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Need for the gNB to know if the feature is supported</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N</w:t>
            </w:r>
            <w:r>
              <w:rPr>
                <w:rFonts w:eastAsiaTheme="minorEastAsia"/>
                <w:color w:val="000000" w:themeColor="text1"/>
                <w:lang w:val="en-US"/>
                <w14:textFill>
                  <w14:solidFill>
                    <w14:schemeClr w14:val="tx1"/>
                  </w14:solidFill>
                </w14:textFill>
              </w:rPr>
              <w:t>o: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es: [ZTE]</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Component:</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sizes from {2, 4, 6, 12}</w:t>
            </w:r>
            <w:r>
              <w:rPr>
                <w:rFonts w:eastAsiaTheme="minorEastAsia"/>
                <w:color w:val="000000" w:themeColor="text1"/>
                <w:lang w:val="en-US"/>
                <w14:textFill>
                  <w14:solidFill>
                    <w14:schemeClr w14:val="tx1"/>
                  </w14:solidFill>
                </w14:textFill>
              </w:rPr>
              <w:t>: Intel, 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 xml:space="preserve">1. Support of 1-symbol PRS </w:t>
            </w:r>
            <w:r>
              <w:rPr>
                <w:rFonts w:eastAsia="宋体"/>
                <w:color w:val="FF0000"/>
                <w:lang w:val="en-US" w:eastAsia="zh-CN"/>
              </w:rPr>
              <w:t>with comb size = 2</w:t>
            </w:r>
            <w:r>
              <w:rPr>
                <w:rFonts w:eastAsia="宋体"/>
                <w:lang w:val="en-US" w:eastAsia="zh-CN"/>
              </w:rPr>
              <w:t>: MTK</w:t>
            </w:r>
          </w:p>
          <w:p>
            <w:pPr>
              <w:pStyle w:val="95"/>
              <w:numPr>
                <w:ilvl w:val="0"/>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R</w:t>
            </w:r>
            <w:r>
              <w:rPr>
                <w:rFonts w:eastAsiaTheme="minorEastAsia"/>
                <w:color w:val="000000" w:themeColor="text1"/>
                <w:lang w:val="en-US"/>
                <w14:textFill>
                  <w14:solidFill>
                    <w14:schemeClr w14:val="tx1"/>
                  </w14:solidFill>
                </w14:textFill>
              </w:rPr>
              <w:t>eporting type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without FDD/TDD and FR1/FR2 differentiation: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UE with FR1/FR2 differentiation: MTK, Nokia/NSB, [ZTE]</w:t>
            </w:r>
          </w:p>
          <w:p>
            <w:pPr>
              <w:pStyle w:val="95"/>
              <w:numPr>
                <w:ilvl w:val="1"/>
                <w:numId w:val="16"/>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per band: QC</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120" w:afterLines="50"/>
              <w:jc w:val="both"/>
              <w:textAlignment w:val="baseline"/>
              <w:rPr>
                <w:b/>
                <w:bCs/>
                <w:szCs w:val="21"/>
                <w:lang w:val="en-US"/>
              </w:rPr>
            </w:pPr>
            <w:r>
              <w:rPr>
                <w:b/>
                <w:bCs/>
                <w:szCs w:val="21"/>
                <w:highlight w:val="yellow"/>
                <w:lang w:val="en-US"/>
              </w:rPr>
              <w:t>Proposal 3-1:</w:t>
            </w:r>
          </w:p>
          <w:p>
            <w:pPr>
              <w:pStyle w:val="95"/>
              <w:numPr>
                <w:ilvl w:val="0"/>
                <w:numId w:val="17"/>
              </w:numPr>
              <w:overflowPunct w:val="0"/>
              <w:autoSpaceDE w:val="0"/>
              <w:autoSpaceDN w:val="0"/>
              <w:adjustRightInd w:val="0"/>
              <w:spacing w:after="0"/>
              <w:ind w:leftChars="0"/>
              <w:textAlignment w:val="baseline"/>
              <w:rPr>
                <w:rFonts w:eastAsiaTheme="minorEastAsia"/>
                <w:color w:val="000000" w:themeColor="text1"/>
                <w:lang w:val="en-US"/>
                <w14:textFill>
                  <w14:solidFill>
                    <w14:schemeClr w14:val="tx1"/>
                  </w14:solidFill>
                </w14:textFill>
              </w:rPr>
            </w:pPr>
            <w:r>
              <w:rPr>
                <w:b/>
                <w:bCs/>
                <w:szCs w:val="21"/>
                <w:lang w:val="en-US"/>
              </w:rPr>
              <w:t>Introduce FG 55-2 with one of the followings</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Component 1: Support of 1-symbol PRS </w:t>
            </w:r>
            <w:r>
              <w:rPr>
                <w:b/>
                <w:bCs/>
                <w:color w:val="FF0000"/>
                <w:lang w:val="en-US"/>
              </w:rPr>
              <w:t>with comb sizes from {2, 4, 6, 12}</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 xml:space="preserve">Need for the gNB to know if the feature is supported: </w:t>
            </w:r>
            <w:r>
              <w:rPr>
                <w:b/>
                <w:bCs/>
                <w:color w:val="FF0000"/>
                <w:lang w:val="en-US"/>
              </w:rPr>
              <w:t>Yes</w:t>
            </w:r>
          </w:p>
          <w:p>
            <w:pPr>
              <w:pStyle w:val="95"/>
              <w:numPr>
                <w:ilvl w:val="1"/>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Reporting type</w:t>
            </w:r>
          </w:p>
          <w:p>
            <w:pPr>
              <w:pStyle w:val="95"/>
              <w:numPr>
                <w:ilvl w:val="2"/>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rFonts w:hint="eastAsia"/>
                <w:b/>
                <w:bCs/>
                <w:color w:val="000000" w:themeColor="text1"/>
                <w:lang w:val="en-US"/>
                <w14:textFill>
                  <w14:solidFill>
                    <w14:schemeClr w14:val="tx1"/>
                  </w14:solidFill>
                </w14:textFill>
              </w:rPr>
              <w:t>O</w:t>
            </w:r>
            <w:r>
              <w:rPr>
                <w:b/>
                <w:bCs/>
                <w:color w:val="000000" w:themeColor="text1"/>
                <w:lang w:val="en-US"/>
                <w14:textFill>
                  <w14:solidFill>
                    <w14:schemeClr w14:val="tx1"/>
                  </w14:solidFill>
                </w14:textFill>
              </w:rPr>
              <w:t>pt1: p</w:t>
            </w:r>
            <w:r>
              <w:rPr>
                <w:rFonts w:eastAsiaTheme="minorEastAsia"/>
                <w:b/>
                <w:bCs/>
                <w:color w:val="000000" w:themeColor="text1"/>
                <w:lang w:val="en-US"/>
                <w14:textFill>
                  <w14:solidFill>
                    <w14:schemeClr w14:val="tx1"/>
                  </w14:solidFill>
                </w14:textFill>
              </w:rPr>
              <w:t>er UE with FR1/FR2 differentiation</w:t>
            </w:r>
          </w:p>
          <w:p>
            <w:pPr>
              <w:pStyle w:val="95"/>
              <w:numPr>
                <w:ilvl w:val="2"/>
                <w:numId w:val="17"/>
              </w:numPr>
              <w:overflowPunct w:val="0"/>
              <w:autoSpaceDE w:val="0"/>
              <w:autoSpaceDN w:val="0"/>
              <w:adjustRightInd w:val="0"/>
              <w:spacing w:after="0"/>
              <w:ind w:leftChars="0"/>
              <w:textAlignment w:val="baseline"/>
              <w:rPr>
                <w:rFonts w:eastAsiaTheme="minorEastAsia"/>
                <w:b/>
                <w:bCs/>
                <w:color w:val="000000" w:themeColor="text1"/>
                <w:lang w:val="en-US"/>
                <w14:textFill>
                  <w14:solidFill>
                    <w14:schemeClr w14:val="tx1"/>
                  </w14:solidFill>
                </w14:textFill>
              </w:rPr>
            </w:pPr>
            <w:r>
              <w:rPr>
                <w:rFonts w:hint="eastAsia"/>
                <w:b/>
                <w:bCs/>
                <w:color w:val="000000" w:themeColor="text1"/>
                <w:lang w:val="en-US"/>
                <w14:textFill>
                  <w14:solidFill>
                    <w14:schemeClr w14:val="tx1"/>
                  </w14:solidFill>
                </w14:textFill>
              </w:rPr>
              <w:t>O</w:t>
            </w:r>
            <w:r>
              <w:rPr>
                <w:b/>
                <w:bCs/>
                <w:color w:val="000000" w:themeColor="text1"/>
                <w:lang w:val="en-US"/>
                <w14:textFill>
                  <w14:solidFill>
                    <w14:schemeClr w14:val="tx1"/>
                  </w14:solidFill>
                </w14:textFill>
              </w:rPr>
              <w:t>pt2: p</w:t>
            </w:r>
            <w:r>
              <w:rPr>
                <w:rFonts w:eastAsiaTheme="minorEastAsia"/>
                <w:b/>
                <w:bCs/>
                <w:color w:val="000000" w:themeColor="text1"/>
                <w:lang w:val="en-US"/>
                <w14:textFill>
                  <w14:solidFill>
                    <w14:schemeClr w14:val="tx1"/>
                  </w14:solidFill>
                </w14:textFill>
              </w:rPr>
              <w:t>er band</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eastAsia="宋体"/>
                <w:szCs w:val="21"/>
                <w:lang w:val="en-US" w:eastAsia="zh-CN"/>
              </w:rPr>
            </w:pPr>
            <w:r>
              <w:rPr>
                <w:rFonts w:hint="eastAsia" w:eastAsia="宋体"/>
                <w:szCs w:val="21"/>
                <w:lang w:val="en-US" w:eastAsia="zh-CN"/>
              </w:rPr>
              <w:t>M</w:t>
            </w:r>
            <w:r>
              <w:rPr>
                <w:rFonts w:eastAsia="宋体"/>
                <w:szCs w:val="21"/>
                <w:lang w:val="en-US" w:eastAsia="zh-CN"/>
              </w:rPr>
              <w:t>TK</w:t>
            </w:r>
          </w:p>
        </w:tc>
        <w:tc>
          <w:tcPr>
            <w:tcW w:w="4496" w:type="pct"/>
          </w:tcPr>
          <w:p>
            <w:pPr>
              <w:pStyle w:val="95"/>
              <w:numPr>
                <w:ilvl w:val="0"/>
                <w:numId w:val="19"/>
              </w:numPr>
              <w:overflowPunct w:val="0"/>
              <w:autoSpaceDE w:val="0"/>
              <w:autoSpaceDN w:val="0"/>
              <w:adjustRightInd w:val="0"/>
              <w:spacing w:after="0"/>
              <w:ind w:leftChars="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On Type, we agree with QC and hence prefer Opt2 with “per band”. </w:t>
            </w:r>
          </w:p>
          <w:p>
            <w:pPr>
              <w:pStyle w:val="95"/>
              <w:numPr>
                <w:ilvl w:val="0"/>
                <w:numId w:val="19"/>
              </w:numPr>
              <w:overflowPunct w:val="0"/>
              <w:autoSpaceDE w:val="0"/>
              <w:autoSpaceDN w:val="0"/>
              <w:adjustRightInd w:val="0"/>
              <w:spacing w:after="0"/>
              <w:ind w:leftChars="0"/>
              <w:textAlignment w:val="baseline"/>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w:t>
            </w:r>
            <w:r>
              <w:rPr>
                <w:rFonts w:eastAsia="宋体"/>
                <w:color w:val="000000" w:themeColor="text1"/>
                <w:lang w:val="en-US" w:eastAsia="zh-CN"/>
                <w14:textFill>
                  <w14:solidFill>
                    <w14:schemeClr w14:val="tx1"/>
                  </w14:solidFill>
                </w14:textFill>
              </w:rPr>
              <w:t>n Need for the gNB to know, thank Ericsson for explanation. We don’t have strong view on this and is OK with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tcPr>
          <w:p>
            <w:pPr>
              <w:overflowPunct w:val="0"/>
              <w:autoSpaceDE w:val="0"/>
              <w:autoSpaceDN w:val="0"/>
              <w:adjustRightInd w:val="0"/>
              <w:spacing w:after="0"/>
              <w:jc w:val="both"/>
              <w:textAlignment w:val="baseline"/>
              <w:rPr>
                <w:rFonts w:hint="default" w:eastAsia="宋体"/>
                <w:szCs w:val="21"/>
                <w:lang w:val="en-US" w:eastAsia="zh-CN"/>
              </w:rPr>
            </w:pPr>
            <w:r>
              <w:rPr>
                <w:rFonts w:hint="eastAsia" w:eastAsia="宋体"/>
                <w:szCs w:val="21"/>
                <w:lang w:val="en-US" w:eastAsia="zh-CN"/>
              </w:rPr>
              <w:t>ZTE</w:t>
            </w:r>
          </w:p>
        </w:tc>
        <w:tc>
          <w:tcPr>
            <w:tcW w:w="4496" w:type="pct"/>
          </w:tcPr>
          <w:p>
            <w:pPr>
              <w:numPr>
                <w:ilvl w:val="0"/>
                <w:numId w:val="20"/>
              </w:numPr>
              <w:overflowPunct w:val="0"/>
              <w:autoSpaceDE w:val="0"/>
              <w:autoSpaceDN w:val="0"/>
              <w:adjustRightInd w:val="0"/>
              <w:spacing w:after="0"/>
              <w:textAlignment w:val="baseline"/>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UE vendors have strong concern, we are fine with </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per band</w:t>
            </w:r>
            <w:r>
              <w:rPr>
                <w:rFonts w:hint="default" w:eastAsia="宋体"/>
                <w:color w:val="000000" w:themeColor="text1"/>
                <w:lang w:val="en-US"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 xml:space="preserve"> granularity.</w:t>
            </w:r>
          </w:p>
          <w:p>
            <w:pPr>
              <w:numPr>
                <w:ilvl w:val="0"/>
                <w:numId w:val="20"/>
              </w:numPr>
              <w:overflowPunct w:val="0"/>
              <w:autoSpaceDE w:val="0"/>
              <w:autoSpaceDN w:val="0"/>
              <w:adjustRightInd w:val="0"/>
              <w:spacing w:after="0"/>
              <w:ind w:left="0" w:leftChars="0" w:firstLine="0" w:firstLineChars="0"/>
              <w:textAlignment w:val="baseline"/>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pPr>
            <w:r>
              <w:drawing>
                <wp:inline distT="0" distB="0" distL="114300" distR="114300">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7575550" cy="1441450"/>
                          </a:xfrm>
                          <a:prstGeom prst="rect">
                            <a:avLst/>
                          </a:prstGeom>
                          <a:noFill/>
                          <a:ln>
                            <a:noFill/>
                          </a:ln>
                        </pic:spPr>
                      </pic:pic>
                    </a:graphicData>
                  </a:graphic>
                </wp:inline>
              </w:drawing>
            </w:r>
          </w:p>
          <w:p>
            <w:pPr>
              <w:overflowPunct w:val="0"/>
              <w:autoSpaceDE w:val="0"/>
              <w:autoSpaceDN w:val="0"/>
              <w:adjustRightInd w:val="0"/>
              <w:spacing w:after="0"/>
              <w:textAlignment w:val="baseline"/>
              <w:rPr>
                <w:rFonts w:hint="eastAsia" w:eastAsia="宋体"/>
                <w:lang w:val="en-US" w:eastAsia="zh-CN"/>
              </w:rPr>
            </w:pPr>
          </w:p>
          <w:p>
            <w:pPr>
              <w:overflowPunct w:val="0"/>
              <w:autoSpaceDE w:val="0"/>
              <w:autoSpaceDN w:val="0"/>
              <w:adjustRightInd w:val="0"/>
              <w:spacing w:after="0"/>
              <w:textAlignment w:val="baseline"/>
              <w:rPr>
                <w:rFonts w:hint="eastAsia" w:eastAsia="宋体"/>
                <w:lang w:val="en-US" w:eastAsia="zh-CN"/>
              </w:rPr>
            </w:pPr>
            <w:r>
              <w:rPr>
                <w:rFonts w:hint="eastAsia" w:eastAsia="宋体"/>
                <w:color w:val="C00000"/>
                <w:lang w:val="en-US" w:eastAsia="zh-CN"/>
              </w:rPr>
              <w:t>The existing 38.331</w:t>
            </w:r>
            <w:r>
              <w:rPr>
                <w:rFonts w:hint="eastAsia" w:eastAsia="宋体"/>
                <w:lang w:val="en-US" w:eastAsia="zh-CN"/>
              </w:rPr>
              <w:t xml:space="preserve">: </w:t>
            </w:r>
            <w:bookmarkStart w:id="4" w:name="_GoBack"/>
            <w:bookmarkEnd w:id="4"/>
          </w:p>
          <w:p>
            <w:pPr>
              <w:overflowPunct w:val="0"/>
              <w:autoSpaceDE w:val="0"/>
              <w:autoSpaceDN w:val="0"/>
              <w:adjustRightInd w:val="0"/>
              <w:spacing w:after="0"/>
              <w:textAlignment w:val="baseline"/>
              <w:rPr>
                <w:rFonts w:hint="default" w:eastAsia="宋体"/>
                <w:lang w:val="en-US" w:eastAsia="zh-CN"/>
              </w:rPr>
            </w:pPr>
            <w:r>
              <w:drawing>
                <wp:inline distT="0" distB="0" distL="114300" distR="114300">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6610350" cy="3695700"/>
                          </a:xfrm>
                          <a:prstGeom prst="rect">
                            <a:avLst/>
                          </a:prstGeom>
                          <a:noFill/>
                          <a:ln>
                            <a:noFill/>
                          </a:ln>
                        </pic:spPr>
                      </pic:pic>
                    </a:graphicData>
                  </a:graphic>
                </wp:inline>
              </w:drawing>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rPr>
      </w:pPr>
      <w:r>
        <w:rPr>
          <w:sz w:val="22"/>
          <w:lang w:val="en-US"/>
        </w:rPr>
        <w:t>To be updated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3" w:name="_Hlk87147818"/>
      <w:r>
        <w:rPr>
          <w:rFonts w:hint="eastAsia" w:eastAsia="MS Mincho"/>
          <w:sz w:val="22"/>
        </w:rPr>
        <w:t>[1]</w:t>
      </w:r>
      <w:r>
        <w:rPr>
          <w:rFonts w:eastAsia="MS Mincho"/>
          <w:sz w:val="22"/>
        </w:rPr>
        <w:tab/>
      </w:r>
      <w:r>
        <w:rPr>
          <w:rFonts w:eastAsia="MS Mincho"/>
          <w:sz w:val="22"/>
        </w:rPr>
        <w:t>R1-2302920</w:t>
      </w:r>
      <w:r>
        <w:rPr>
          <w:rFonts w:eastAsia="MS Mincho"/>
          <w:sz w:val="22"/>
        </w:rPr>
        <w:tab/>
      </w:r>
      <w:r>
        <w:rPr>
          <w:rFonts w:eastAsia="MS Mincho"/>
          <w:sz w:val="22"/>
        </w:rPr>
        <w:t>UE feature for agreed TEI-18 on SR periodicity</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R1-2303283</w:t>
      </w:r>
      <w:r>
        <w:rPr>
          <w:rFonts w:eastAsia="MS Mincho"/>
          <w:sz w:val="22"/>
        </w:rPr>
        <w:tab/>
      </w:r>
      <w:r>
        <w:rPr>
          <w:rFonts w:eastAsia="MS Mincho"/>
          <w:sz w:val="22"/>
        </w:rPr>
        <w:t>UE feature on support of 1-symbol PRS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R1-2302899</w:t>
      </w:r>
      <w:r>
        <w:rPr>
          <w:rFonts w:eastAsia="MS Mincho"/>
          <w:sz w:val="22"/>
        </w:rPr>
        <w:tab/>
      </w:r>
      <w:r>
        <w:rPr>
          <w:rFonts w:eastAsia="MS Mincho"/>
          <w:sz w:val="22"/>
        </w:rPr>
        <w:t>Initial views on UE features for TEI-18</w:t>
      </w:r>
      <w:r>
        <w:rPr>
          <w:rFonts w:eastAsia="MS Mincho"/>
          <w:sz w:val="22"/>
        </w:rPr>
        <w:tab/>
      </w:r>
      <w:r>
        <w:rPr>
          <w:rFonts w:eastAsia="MS Mincho"/>
          <w:sz w:val="22"/>
        </w:rPr>
        <w:t>Nokia, Nokia Shanghai Bell</w:t>
      </w:r>
      <w:bookmarkEnd w:id="3"/>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2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ＭＳ 明朝">
    <w:altName w:val="Yu Gothic UI"/>
    <w:panose1 w:val="02020609040205080304"/>
    <w:charset w:val="80"/>
    <w:family w:val="roma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6"/>
        <w:rFonts w:eastAsia="MS Gothic"/>
      </w:rPr>
      <w:t xml:space="preserve">- </w:t>
    </w:r>
    <w:r>
      <w:rPr>
        <w:rStyle w:val="46"/>
        <w:rFonts w:eastAsia="MS Gothic"/>
      </w:rPr>
      <w:fldChar w:fldCharType="begin"/>
    </w:r>
    <w:r>
      <w:rPr>
        <w:rStyle w:val="46"/>
        <w:rFonts w:eastAsia="MS Gothic"/>
      </w:rPr>
      <w:instrText xml:space="preserve"> PAGE </w:instrText>
    </w:r>
    <w:r>
      <w:rPr>
        <w:rStyle w:val="46"/>
        <w:rFonts w:eastAsia="MS Gothic"/>
      </w:rPr>
      <w:fldChar w:fldCharType="separate"/>
    </w:r>
    <w:r>
      <w:rPr>
        <w:rStyle w:val="46"/>
        <w:rFonts w:eastAsia="MS Gothic"/>
      </w:rPr>
      <w:t>20</w:t>
    </w:r>
    <w:r>
      <w:rPr>
        <w:rStyle w:val="46"/>
        <w:rFonts w:eastAsia="MS Gothic"/>
      </w:rPr>
      <w:fldChar w:fldCharType="end"/>
    </w:r>
    <w:r>
      <w:rPr>
        <w:rStyle w:val="46"/>
        <w:rFonts w:eastAsia="MS Gothic"/>
      </w:rPr>
      <w:t>/</w:t>
    </w:r>
    <w:r>
      <w:rPr>
        <w:rStyle w:val="46"/>
        <w:rFonts w:eastAsia="MS Gothic"/>
      </w:rPr>
      <w:fldChar w:fldCharType="begin"/>
    </w:r>
    <w:r>
      <w:rPr>
        <w:rStyle w:val="46"/>
        <w:rFonts w:eastAsia="MS Gothic"/>
      </w:rPr>
      <w:instrText xml:space="preserve"> NUMPAGES </w:instrText>
    </w:r>
    <w:r>
      <w:rPr>
        <w:rStyle w:val="46"/>
        <w:rFonts w:eastAsia="MS Gothic"/>
      </w:rPr>
      <w:fldChar w:fldCharType="separate"/>
    </w:r>
    <w:r>
      <w:rPr>
        <w:rStyle w:val="46"/>
        <w:rFonts w:eastAsia="MS Gothic"/>
      </w:rPr>
      <w:t>41</w:t>
    </w:r>
    <w:r>
      <w:rPr>
        <w:rStyle w:val="46"/>
        <w:rFonts w:eastAsia="MS Gothic"/>
      </w:rPr>
      <w:fldChar w:fldCharType="end"/>
    </w:r>
    <w:r>
      <w:rPr>
        <w:rStyle w:val="46"/>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80E3B"/>
    <w:multiLevelType w:val="singleLevel"/>
    <w:tmpl w:val="9F880E3B"/>
    <w:lvl w:ilvl="0" w:tentative="0">
      <w:start w:val="1"/>
      <w:numFmt w:val="decimal"/>
      <w:suff w:val="space"/>
      <w:lvlText w:val="%1."/>
      <w:lvlJc w:val="left"/>
    </w:lvl>
  </w:abstractNum>
  <w:abstractNum w:abstractNumId="1">
    <w:nsid w:val="113D0C98"/>
    <w:multiLevelType w:val="multilevel"/>
    <w:tmpl w:val="113D0C98"/>
    <w:lvl w:ilvl="0" w:tentative="0">
      <w:start w:val="1"/>
      <w:numFmt w:val="decimal"/>
      <w:lvlText w:val="%1."/>
      <w:lvlJc w:val="left"/>
      <w:pPr>
        <w:ind w:left="720" w:hanging="360"/>
      </w:pPr>
      <w:rPr>
        <w:rFonts w:hint="eastAsia"/>
      </w:rPr>
    </w:lvl>
    <w:lvl w:ilvl="1" w:tentative="0">
      <w:start w:val="1"/>
      <w:numFmt w:val="aiueoFullWidth"/>
      <w:lvlText w:val="(%2)"/>
      <w:lvlJc w:val="left"/>
      <w:pPr>
        <w:ind w:left="840" w:hanging="420"/>
      </w:pPr>
      <w:rPr>
        <w:rFonts w:hint="eastAsia"/>
      </w:rPr>
    </w:lvl>
    <w:lvl w:ilvl="2" w:tentative="0">
      <w:start w:val="1"/>
      <w:numFmt w:val="decimalEnclosedCircle"/>
      <w:lvlText w:val="%3"/>
      <w:lvlJc w:val="lef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aiueoFullWidth"/>
      <w:lvlText w:val="(%5)"/>
      <w:lvlJc w:val="left"/>
      <w:pPr>
        <w:ind w:left="2100" w:hanging="420"/>
      </w:pPr>
      <w:rPr>
        <w:rFonts w:hint="eastAsia"/>
      </w:rPr>
    </w:lvl>
    <w:lvl w:ilvl="5" w:tentative="0">
      <w:start w:val="1"/>
      <w:numFmt w:val="decimalEnclosedCircle"/>
      <w:lvlText w:val="%6"/>
      <w:lvlJc w:val="lef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aiueoFullWidth"/>
      <w:lvlText w:val="(%8)"/>
      <w:lvlJc w:val="left"/>
      <w:pPr>
        <w:ind w:left="3360" w:hanging="420"/>
      </w:pPr>
      <w:rPr>
        <w:rFonts w:hint="eastAsia"/>
      </w:rPr>
    </w:lvl>
    <w:lvl w:ilvl="8" w:tentative="0">
      <w:start w:val="1"/>
      <w:numFmt w:val="decimalEnclosedCircle"/>
      <w:lvlText w:val="%9"/>
      <w:lvlJc w:val="left"/>
      <w:pPr>
        <w:ind w:left="3780" w:hanging="420"/>
      </w:pPr>
      <w:rPr>
        <w:rFonts w:hint="eastAsia"/>
      </w:rPr>
    </w:lvl>
  </w:abstractNum>
  <w:abstractNum w:abstractNumId="2">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6">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E877AB4"/>
    <w:multiLevelType w:val="multilevel"/>
    <w:tmpl w:val="3E877A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9">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3F4966"/>
    <w:multiLevelType w:val="multilevel"/>
    <w:tmpl w:val="453F49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7513F0"/>
    <w:multiLevelType w:val="multilevel"/>
    <w:tmpl w:val="527513F0"/>
    <w:lvl w:ilvl="0" w:tentative="0">
      <w:start w:val="1"/>
      <w:numFmt w:val="decimal"/>
      <w:lvlText w:val="%1."/>
      <w:lvlJc w:val="left"/>
      <w:pPr>
        <w:ind w:left="720" w:hanging="36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5">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17">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70B3E3D"/>
    <w:multiLevelType w:val="multilevel"/>
    <w:tmpl w:val="770B3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16"/>
  </w:num>
  <w:num w:numId="4">
    <w:abstractNumId w:val="19"/>
  </w:num>
  <w:num w:numId="5">
    <w:abstractNumId w:val="3"/>
  </w:num>
  <w:num w:numId="6">
    <w:abstractNumId w:val="6"/>
  </w:num>
  <w:num w:numId="7">
    <w:abstractNumId w:val="13"/>
  </w:num>
  <w:num w:numId="8">
    <w:abstractNumId w:val="8"/>
  </w:num>
  <w:num w:numId="9">
    <w:abstractNumId w:val="4"/>
  </w:num>
  <w:num w:numId="10">
    <w:abstractNumId w:val="9"/>
  </w:num>
  <w:num w:numId="11">
    <w:abstractNumId w:val="15"/>
  </w:num>
  <w:num w:numId="12">
    <w:abstractNumId w:val="11"/>
  </w:num>
  <w:num w:numId="13">
    <w:abstractNumId w:val="12"/>
  </w:num>
  <w:num w:numId="14">
    <w:abstractNumId w:val="7"/>
  </w:num>
  <w:num w:numId="15">
    <w:abstractNumId w:val="17"/>
  </w:num>
  <w:num w:numId="16">
    <w:abstractNumId w:val="10"/>
  </w:num>
  <w:num w:numId="17">
    <w:abstractNumId w:val="18"/>
  </w:num>
  <w:num w:numId="18">
    <w:abstractNumId w:val="1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5"/>
    <w:qFormat/>
    <w:uiPriority w:val="99"/>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qFormat/>
    <w:uiPriority w:val="99"/>
    <w:pPr>
      <w:keepNext/>
      <w:spacing w:before="240" w:after="60"/>
      <w:outlineLvl w:val="2"/>
    </w:pPr>
    <w:rPr>
      <w:rFonts w:ascii="Arial" w:hAnsi="Arial"/>
    </w:rPr>
  </w:style>
  <w:style w:type="paragraph" w:styleId="5">
    <w:name w:val="heading 4"/>
    <w:basedOn w:val="1"/>
    <w:next w:val="1"/>
    <w:qFormat/>
    <w:uiPriority w:val="99"/>
    <w:pPr>
      <w:keepNext/>
      <w:jc w:val="right"/>
      <w:outlineLvl w:val="3"/>
    </w:pPr>
    <w:rPr>
      <w:rFonts w:ascii="Arial" w:hAnsi="Arial"/>
      <w:i/>
    </w:rPr>
  </w:style>
  <w:style w:type="paragraph" w:styleId="6">
    <w:name w:val="heading 5"/>
    <w:basedOn w:val="1"/>
    <w:next w:val="1"/>
    <w:qFormat/>
    <w:uiPriority w:val="99"/>
    <w:pPr>
      <w:keepNext/>
      <w:spacing w:line="360" w:lineRule="auto"/>
      <w:outlineLvl w:val="4"/>
    </w:pPr>
    <w:rPr>
      <w:sz w:val="26"/>
      <w:u w:val="single"/>
    </w:rPr>
  </w:style>
  <w:style w:type="paragraph" w:styleId="7">
    <w:name w:val="heading 6"/>
    <w:basedOn w:val="1"/>
    <w:next w:val="1"/>
    <w:qFormat/>
    <w:uiPriority w:val="99"/>
    <w:pPr>
      <w:spacing w:before="240" w:after="60"/>
      <w:outlineLvl w:val="5"/>
    </w:pPr>
    <w:rPr>
      <w:i/>
      <w:sz w:val="22"/>
    </w:rPr>
  </w:style>
  <w:style w:type="paragraph" w:styleId="8">
    <w:name w:val="heading 7"/>
    <w:basedOn w:val="1"/>
    <w:next w:val="1"/>
    <w:qFormat/>
    <w:uiPriority w:val="99"/>
    <w:pPr>
      <w:spacing w:before="240" w:after="60"/>
      <w:outlineLvl w:val="6"/>
    </w:pPr>
    <w:rPr>
      <w:rFonts w:ascii="Arial" w:hAnsi="Arial"/>
    </w:rPr>
  </w:style>
  <w:style w:type="paragraph" w:styleId="9">
    <w:name w:val="heading 8"/>
    <w:basedOn w:val="1"/>
    <w:next w:val="1"/>
    <w:qFormat/>
    <w:uiPriority w:val="99"/>
    <w:pPr>
      <w:spacing w:before="240" w:after="60"/>
      <w:outlineLvl w:val="7"/>
    </w:pPr>
    <w:rPr>
      <w:rFonts w:ascii="Arial" w:hAnsi="Arial"/>
      <w:i/>
    </w:rPr>
  </w:style>
  <w:style w:type="paragraph" w:styleId="10">
    <w:name w:val="heading 9"/>
    <w:basedOn w:val="1"/>
    <w:next w:val="1"/>
    <w:qFormat/>
    <w:uiPriority w:val="99"/>
    <w:pPr>
      <w:spacing w:before="240" w:after="60"/>
      <w:outlineLvl w:val="8"/>
    </w:pPr>
    <w:rPr>
      <w:rFonts w:ascii="Arial" w:hAnsi="Arial"/>
      <w:b/>
      <w:i/>
      <w:sz w:val="1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100"/>
    <w:qFormat/>
    <w:uiPriority w:val="0"/>
    <w:pPr>
      <w:jc w:val="center"/>
    </w:pPr>
    <w:rPr>
      <w:b/>
      <w:color w:val="FF0000"/>
      <w:szCs w:val="21"/>
      <w:lang w:val="en-US"/>
    </w:rPr>
  </w:style>
  <w:style w:type="paragraph" w:styleId="13">
    <w:name w:val="caption"/>
    <w:basedOn w:val="1"/>
    <w:next w:val="1"/>
    <w:qFormat/>
    <w:uiPriority w:val="35"/>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5"/>
    <w:qFormat/>
    <w:uiPriority w:val="99"/>
    <w:rPr>
      <w:sz w:val="20"/>
    </w:rPr>
  </w:style>
  <w:style w:type="paragraph" w:styleId="17">
    <w:name w:val="Body Text 3"/>
    <w:basedOn w:val="1"/>
    <w:qFormat/>
    <w:uiPriority w:val="0"/>
    <w:pPr>
      <w:jc w:val="both"/>
    </w:pPr>
  </w:style>
  <w:style w:type="paragraph" w:styleId="18">
    <w:name w:val="Closing"/>
    <w:basedOn w:val="1"/>
    <w:link w:val="101"/>
    <w:qFormat/>
    <w:uiPriority w:val="0"/>
    <w:pPr>
      <w:jc w:val="right"/>
    </w:pPr>
    <w:rPr>
      <w:b/>
      <w:color w:val="FF0000"/>
      <w:szCs w:val="21"/>
      <w:lang w:val="en-US"/>
    </w:rPr>
  </w:style>
  <w:style w:type="paragraph" w:styleId="19">
    <w:name w:val="Body Text"/>
    <w:basedOn w:val="1"/>
    <w:link w:val="153"/>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2"/>
    <w:qFormat/>
    <w:uiPriority w:val="0"/>
    <w:rPr>
      <w:rFonts w:ascii="Arial" w:hAnsi="Arial"/>
      <w:sz w:val="18"/>
    </w:rPr>
  </w:style>
  <w:style w:type="paragraph" w:styleId="30">
    <w:name w:val="footer"/>
    <w:basedOn w:val="1"/>
    <w:link w:val="160"/>
    <w:qFormat/>
    <w:uiPriority w:val="0"/>
    <w:pPr>
      <w:tabs>
        <w:tab w:val="center" w:pos="4536"/>
        <w:tab w:val="right" w:pos="9072"/>
      </w:tabs>
      <w:spacing w:before="120"/>
    </w:pPr>
    <w:rPr>
      <w:lang w:val="de-DE"/>
    </w:rPr>
  </w:style>
  <w:style w:type="paragraph" w:styleId="31">
    <w:name w:val="header"/>
    <w:basedOn w:val="1"/>
    <w:link w:val="54"/>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index 1"/>
    <w:basedOn w:val="1"/>
    <w:next w:val="1"/>
    <w:semiHidden/>
    <w:unhideWhenUsed/>
    <w:qFormat/>
    <w:uiPriority w:val="0"/>
    <w:pPr>
      <w:ind w:left="240" w:hanging="240" w:hangingChars="100"/>
    </w:pPr>
  </w:style>
  <w:style w:type="paragraph" w:styleId="39">
    <w:name w:val="index 2"/>
    <w:basedOn w:val="38"/>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宋体"/>
      <w:sz w:val="20"/>
      <w:lang w:eastAsia="en-US"/>
    </w:rPr>
  </w:style>
  <w:style w:type="paragraph" w:styleId="40">
    <w:name w:val="Title"/>
    <w:basedOn w:val="1"/>
    <w:qFormat/>
    <w:uiPriority w:val="0"/>
    <w:pPr>
      <w:jc w:val="center"/>
    </w:pPr>
    <w:rPr>
      <w:rFonts w:ascii="Arial" w:hAnsi="Arial"/>
      <w:b/>
    </w:rPr>
  </w:style>
  <w:style w:type="paragraph" w:styleId="41">
    <w:name w:val="annotation subject"/>
    <w:basedOn w:val="16"/>
    <w:next w:val="16"/>
    <w:link w:val="79"/>
    <w:qFormat/>
    <w:uiPriority w:val="0"/>
    <w:rPr>
      <w:b/>
      <w:sz w:val="24"/>
    </w:rPr>
  </w:style>
  <w:style w:type="table" w:styleId="43">
    <w:name w:val="Table Grid"/>
    <w:basedOn w:val="42"/>
    <w:qFormat/>
    <w:uiPriority w:val="5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page number"/>
    <w:qFormat/>
    <w:uiPriority w:val="0"/>
    <w:rPr>
      <w:rFonts w:eastAsia="Times New Roman"/>
      <w:kern w:val="2"/>
      <w:sz w:val="21"/>
      <w:lang w:val="en-GB"/>
    </w:rPr>
  </w:style>
  <w:style w:type="character" w:styleId="47">
    <w:name w:val="FollowedHyperlink"/>
    <w:qFormat/>
    <w:uiPriority w:val="0"/>
    <w:rPr>
      <w:rFonts w:eastAsia="Times New Roman"/>
      <w:color w:val="800080"/>
      <w:kern w:val="2"/>
      <w:sz w:val="21"/>
      <w:u w:val="single"/>
      <w:lang w:val="en-GB"/>
    </w:rPr>
  </w:style>
  <w:style w:type="character" w:styleId="48">
    <w:name w:val="Emphasis"/>
    <w:qFormat/>
    <w:uiPriority w:val="20"/>
    <w:rPr>
      <w:i/>
      <w:iCs/>
    </w:rPr>
  </w:style>
  <w:style w:type="character" w:styleId="49">
    <w:name w:val="Hyperlink"/>
    <w:qFormat/>
    <w:uiPriority w:val="0"/>
    <w:rPr>
      <w:rFonts w:eastAsia="Times New Roman"/>
      <w:color w:val="0000FF"/>
      <w:kern w:val="2"/>
      <w:sz w:val="21"/>
      <w:u w:val="single"/>
      <w:lang w:val="en-GB"/>
    </w:rPr>
  </w:style>
  <w:style w:type="character" w:styleId="50">
    <w:name w:val="annotation reference"/>
    <w:qFormat/>
    <w:uiPriority w:val="99"/>
    <w:rPr>
      <w:rFonts w:eastAsia="Times New Roman"/>
      <w:kern w:val="2"/>
      <w:sz w:val="16"/>
      <w:lang w:val="en-GB"/>
    </w:rPr>
  </w:style>
  <w:style w:type="character" w:styleId="51">
    <w:name w:val="footnote reference"/>
    <w:semiHidden/>
    <w:qFormat/>
    <w:uiPriority w:val="0"/>
    <w:rPr>
      <w:rFonts w:eastAsia="Times New Roman"/>
      <w:b/>
      <w:kern w:val="2"/>
      <w:position w:val="6"/>
      <w:sz w:val="16"/>
      <w:lang w:val="en-GB"/>
    </w:rPr>
  </w:style>
  <w:style w:type="character" w:customStyle="1" w:styleId="52">
    <w:name w:val="Balloon Text Char"/>
    <w:link w:val="29"/>
    <w:qFormat/>
    <w:uiPriority w:val="0"/>
    <w:rPr>
      <w:rFonts w:ascii="Arial" w:hAnsi="Arial" w:eastAsia="MS Gothic"/>
      <w:sz w:val="18"/>
      <w:lang w:val="en-GB"/>
    </w:rPr>
  </w:style>
  <w:style w:type="paragraph" w:customStyle="1" w:styleId="53">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31"/>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MS Gothic"/>
      <w:b/>
      <w:sz w:val="24"/>
      <w:lang w:val="en-GB"/>
    </w:rPr>
  </w:style>
  <w:style w:type="paragraph" w:customStyle="1" w:styleId="60">
    <w:name w:val="B1"/>
    <w:basedOn w:val="23"/>
    <w:link w:val="61"/>
    <w:qFormat/>
    <w:uiPriority w:val="0"/>
  </w:style>
  <w:style w:type="character" w:customStyle="1" w:styleId="61">
    <w:name w:val="B1 Char"/>
    <w:link w:val="60"/>
    <w:qFormat/>
    <w:uiPriority w:val="0"/>
    <w:rPr>
      <w:rFonts w:ascii="Times New Roman" w:hAnsi="Times New Roman" w:eastAsia="MS Gothic"/>
      <w:sz w:val="24"/>
      <w:lang w:val="en-GB"/>
    </w:rPr>
  </w:style>
  <w:style w:type="paragraph" w:customStyle="1" w:styleId="62">
    <w:name w:val="EQ"/>
    <w:basedOn w:val="1"/>
    <w:next w:val="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14"/>
    <w:next w:val="19"/>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22"/>
    <w:link w:val="140"/>
    <w:qFormat/>
    <w:uiPriority w:val="0"/>
    <w:pPr>
      <w:overflowPunct w:val="0"/>
      <w:autoSpaceDE w:val="0"/>
      <w:autoSpaceDN w:val="0"/>
      <w:adjustRightInd w:val="0"/>
      <w:textAlignment w:val="baseline"/>
    </w:pPr>
  </w:style>
  <w:style w:type="paragraph" w:customStyle="1" w:styleId="72">
    <w:name w:val="B3"/>
    <w:basedOn w:val="11"/>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5">
    <w:name w:val="Comment Text Char"/>
    <w:basedOn w:val="44"/>
    <w:link w:val="16"/>
    <w:qFormat/>
    <w:uiPriority w:val="99"/>
    <w:rPr>
      <w:rFonts w:ascii="Times New Roman" w:hAnsi="Times New Roman" w:eastAsia="MS Gothic"/>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35"/>
    <w:rPr>
      <w:rFonts w:eastAsia="MS Gothic"/>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41"/>
    <w:qFormat/>
    <w:uiPriority w:val="0"/>
    <w:rPr>
      <w:rFonts w:ascii="Times New Roman" w:hAnsi="Times New Roman" w:eastAsia="MS Gothic"/>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MS Mincho"/>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MS Mincho"/>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MS Gothic"/>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MS Mincho"/>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44"/>
    <w:link w:val="12"/>
    <w:qFormat/>
    <w:uiPriority w:val="0"/>
    <w:rPr>
      <w:rFonts w:ascii="Times New Roman" w:hAnsi="Times New Roman" w:eastAsia="MS Gothic"/>
      <w:b/>
      <w:color w:val="FF0000"/>
      <w:sz w:val="24"/>
      <w:szCs w:val="21"/>
    </w:rPr>
  </w:style>
  <w:style w:type="character" w:customStyle="1" w:styleId="101">
    <w:name w:val="Closing Char"/>
    <w:basedOn w:val="44"/>
    <w:link w:val="18"/>
    <w:qFormat/>
    <w:uiPriority w:val="0"/>
    <w:rPr>
      <w:rFonts w:ascii="Times New Roman" w:hAnsi="Times New Roman" w:eastAsia="MS Gothic"/>
      <w:b/>
      <w:color w:val="FF0000"/>
      <w:sz w:val="24"/>
      <w:szCs w:val="21"/>
    </w:rPr>
  </w:style>
  <w:style w:type="character" w:customStyle="1" w:styleId="102">
    <w:name w:val="B1 (文字)"/>
    <w:qFormat/>
    <w:uiPriority w:val="0"/>
    <w:rPr>
      <w:rFonts w:eastAsia="MS Mincho"/>
      <w:lang w:val="en-GB" w:eastAsia="en-US" w:bidi="ar-SA"/>
    </w:rPr>
  </w:style>
  <w:style w:type="paragraph" w:customStyle="1" w:styleId="103">
    <w:name w:val="3GPP Normal Text"/>
    <w:basedOn w:val="19"/>
    <w:link w:val="104"/>
    <w:qFormat/>
    <w:uiPriority w:val="0"/>
    <w:pPr>
      <w:ind w:left="720" w:hanging="720"/>
      <w:jc w:val="both"/>
    </w:pPr>
    <w:rPr>
      <w:rFonts w:eastAsia="MS Mincho"/>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44"/>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4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44"/>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44"/>
    <w:qFormat/>
    <w:locked/>
    <w:uiPriority w:val="0"/>
    <w:rPr>
      <w:lang w:eastAsia="en-US"/>
    </w:rPr>
  </w:style>
  <w:style w:type="paragraph" w:customStyle="1" w:styleId="138">
    <w:name w:val="Proposal"/>
    <w:basedOn w:val="19"/>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MS Gothic"/>
      <w:sz w:val="24"/>
      <w:lang w:val="en-GB"/>
    </w:rPr>
  </w:style>
  <w:style w:type="character" w:customStyle="1" w:styleId="141">
    <w:name w:val="B3 Char2"/>
    <w:link w:val="72"/>
    <w:qFormat/>
    <w:uiPriority w:val="0"/>
    <w:rPr>
      <w:rFonts w:ascii="Times New Roman" w:hAnsi="Times New Roman" w:eastAsia="MS Gothic"/>
      <w:sz w:val="24"/>
      <w:lang w:val="en-GB"/>
    </w:rPr>
  </w:style>
  <w:style w:type="paragraph" w:customStyle="1" w:styleId="142">
    <w:name w:val="CR Cover Page"/>
    <w:qFormat/>
    <w:uiPriority w:val="0"/>
    <w:pPr>
      <w:spacing w:after="120" w:line="259" w:lineRule="auto"/>
    </w:pPr>
    <w:rPr>
      <w:rFonts w:ascii="Arial" w:hAnsi="Arial" w:eastAsia="MS Mincho"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MS Mincho"/>
      <w:sz w:val="18"/>
      <w:lang w:val="en-GB" w:eastAsia="en-US"/>
    </w:rPr>
  </w:style>
  <w:style w:type="character" w:customStyle="1" w:styleId="145">
    <w:name w:val="Heading 1 Char"/>
    <w:basedOn w:val="44"/>
    <w:link w:val="2"/>
    <w:qFormat/>
    <w:uiPriority w:val="0"/>
    <w:rPr>
      <w:rFonts w:ascii="Arial" w:hAnsi="Arial" w:eastAsia="MS Gothic"/>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44"/>
    <w:link w:val="36"/>
    <w:semiHidden/>
    <w:qFormat/>
    <w:uiPriority w:val="99"/>
    <w:rPr>
      <w:rFonts w:ascii="MS Gothic" w:hAnsi="MS Gothic" w:eastAsia="MS Gothic" w:cs="MS Gothic"/>
      <w:sz w:val="24"/>
      <w:szCs w:val="24"/>
    </w:rPr>
  </w:style>
  <w:style w:type="paragraph" w:customStyle="1" w:styleId="149">
    <w:name w:val="List Paragraph1"/>
    <w:basedOn w:val="1"/>
    <w:qFormat/>
    <w:uiPriority w:val="99"/>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51">
    <w:name w:val="3GPP Text Char"/>
    <w:link w:val="150"/>
    <w:qFormat/>
    <w:uiPriority w:val="0"/>
    <w:rPr>
      <w:rFonts w:ascii="Times New Roman" w:hAnsi="Times New Roman" w:eastAsia="宋体"/>
      <w:sz w:val="22"/>
      <w:lang w:eastAsia="en-US"/>
    </w:rPr>
  </w:style>
  <w:style w:type="character" w:customStyle="1" w:styleId="152">
    <w:name w:val="Proposal Char"/>
    <w:basedOn w:val="44"/>
    <w:link w:val="138"/>
    <w:qFormat/>
    <w:uiPriority w:val="0"/>
    <w:rPr>
      <w:rFonts w:ascii="Arial" w:hAnsi="Arial" w:eastAsiaTheme="minorEastAsia" w:cstheme="minorBidi"/>
      <w:b/>
      <w:bCs/>
      <w:kern w:val="2"/>
      <w:sz w:val="21"/>
      <w:szCs w:val="22"/>
      <w:lang w:val="en-US" w:eastAsia="zh-CN"/>
    </w:rPr>
  </w:style>
  <w:style w:type="character" w:customStyle="1" w:styleId="153">
    <w:name w:val="Body Text Char"/>
    <w:basedOn w:val="44"/>
    <w:link w:val="19"/>
    <w:qFormat/>
    <w:uiPriority w:val="0"/>
    <w:rPr>
      <w:rFonts w:ascii="Times New Roman" w:hAnsi="Times New Roman" w:eastAsia="MS Gothic"/>
      <w:sz w:val="24"/>
      <w:lang w:val="en-GB"/>
    </w:rPr>
  </w:style>
  <w:style w:type="table" w:customStyle="1" w:styleId="154">
    <w:name w:val="Table Grid7"/>
    <w:basedOn w:val="4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6">
    <w:name w:val="3GPP Agreements Char"/>
    <w:link w:val="155"/>
    <w:qFormat/>
    <w:uiPriority w:val="0"/>
    <w:rPr>
      <w:rFonts w:eastAsia="宋体"/>
      <w:sz w:val="22"/>
      <w:szCs w:val="22"/>
      <w:lang w:val="en-US" w:eastAsia="en-US"/>
    </w:rPr>
  </w:style>
  <w:style w:type="character" w:customStyle="1" w:styleId="157">
    <w:name w:val="Heading 2 Char"/>
    <w:basedOn w:val="44"/>
    <w:link w:val="3"/>
    <w:qFormat/>
    <w:uiPriority w:val="0"/>
    <w:rPr>
      <w:rFonts w:ascii="Arial" w:hAnsi="Arial" w:eastAsia="MS Gothic"/>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44"/>
    <w:qFormat/>
    <w:uiPriority w:val="0"/>
  </w:style>
  <w:style w:type="character" w:customStyle="1" w:styleId="160">
    <w:name w:val="Footer Char"/>
    <w:link w:val="30"/>
    <w:qFormat/>
    <w:uiPriority w:val="0"/>
    <w:rPr>
      <w:rFonts w:eastAsia="MS Gothic"/>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162">
    <w:name w:val="PL Char"/>
    <w:link w:val="113"/>
    <w:qFormat/>
    <w:uiPriority w:val="0"/>
    <w:rPr>
      <w:rFonts w:ascii="Courier New" w:hAnsi="Courier New" w:eastAsiaTheme="minorEastAsia"/>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B42-D87C-47C7-9AF2-FE36D13253B7}">
  <ds:schemaRefs/>
</ds:datastoreItem>
</file>

<file path=customXml/itemProps2.xml><?xml version="1.0" encoding="utf-8"?>
<ds:datastoreItem xmlns:ds="http://schemas.openxmlformats.org/officeDocument/2006/customXml" ds:itemID="{5F238308-4CC9-4969-BFA2-9B7219084D1D}">
  <ds:schemaRefs/>
</ds:datastoreItem>
</file>

<file path=customXml/itemProps3.xml><?xml version="1.0" encoding="utf-8"?>
<ds:datastoreItem xmlns:ds="http://schemas.openxmlformats.org/officeDocument/2006/customXml" ds:itemID="{E69041EB-C4FD-4F12-8717-48ABBF766804}">
  <ds:schemaRefs/>
</ds:datastoreItem>
</file>

<file path=customXml/itemProps4.xml><?xml version="1.0" encoding="utf-8"?>
<ds:datastoreItem xmlns:ds="http://schemas.openxmlformats.org/officeDocument/2006/customXml" ds:itemID="{5806E517-8370-4B39-95F3-5AD7CF9C2AEA}">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5</Pages>
  <Words>1404</Words>
  <Characters>8003</Characters>
  <Lines>66</Lines>
  <Paragraphs>18</Paragraphs>
  <TotalTime>0</TotalTime>
  <ScaleCrop>false</ScaleCrop>
  <LinksUpToDate>false</LinksUpToDate>
  <CharactersWithSpaces>9389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2023-04-19T06:00:00Z</dcterms:created>
  <dc:creator>USUDA</dc:creator>
  <cp:lastModifiedBy>蒋创新</cp:lastModifiedBy>
  <cp:lastPrinted>2017-08-09T04:40:00Z</cp:lastPrinted>
  <dcterms:modified xsi:type="dcterms:W3CDTF">2023-04-19T12:54:20Z</dcterms:modified>
  <dc:title>TSG-RAN Working Group 1 Meeting #26</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