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DC81" w14:textId="77777777" w:rsidR="00E93CD6" w:rsidRDefault="00823A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1764DC82" w14:textId="77777777" w:rsidR="00E93CD6" w:rsidRDefault="00823A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764DC83" w14:textId="77777777" w:rsidR="00E93CD6" w:rsidRDefault="00E93CD6">
      <w:pPr>
        <w:tabs>
          <w:tab w:val="center" w:pos="4536"/>
          <w:tab w:val="right" w:pos="9072"/>
        </w:tabs>
        <w:spacing w:line="276" w:lineRule="auto"/>
        <w:rPr>
          <w:rFonts w:ascii="Arial" w:eastAsia="Malgun Gothic" w:hAnsi="Arial" w:cs="Arial"/>
          <w:b/>
          <w:bCs/>
          <w:szCs w:val="24"/>
          <w:lang w:eastAsia="en-US"/>
        </w:rPr>
      </w:pPr>
    </w:p>
    <w:p w14:paraId="1764DC84" w14:textId="77777777" w:rsidR="00E93CD6" w:rsidRDefault="00823A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1764DC85" w14:textId="77777777" w:rsidR="00E93CD6" w:rsidRDefault="00823A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764DC86" w14:textId="77777777" w:rsidR="00E93CD6" w:rsidRDefault="00823AB3">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64DC87" w14:textId="77777777" w:rsidR="00E93CD6" w:rsidRDefault="00823A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64DC88" w14:textId="77777777" w:rsidR="00E93CD6" w:rsidRDefault="00823A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1764DC89" w14:textId="77777777" w:rsidR="00E93CD6" w:rsidRDefault="00823A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93CD6" w14:paraId="1764DC8C" w14:textId="77777777">
        <w:tc>
          <w:tcPr>
            <w:tcW w:w="9962" w:type="dxa"/>
          </w:tcPr>
          <w:p w14:paraId="1764DC8A" w14:textId="77777777" w:rsidR="00E93CD6" w:rsidRDefault="00823AB3">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1764DC8B" w14:textId="77777777" w:rsidR="00E93CD6" w:rsidRDefault="00823AB3">
            <w:pPr>
              <w:numPr>
                <w:ilvl w:val="0"/>
                <w:numId w:val="12"/>
              </w:numPr>
              <w:spacing w:after="0" w:line="240" w:lineRule="auto"/>
              <w:rPr>
                <w:sz w:val="20"/>
                <w:szCs w:val="14"/>
                <w:highlight w:val="cyan"/>
                <w:lang w:eastAsia="zh-CN"/>
              </w:rPr>
            </w:pPr>
            <w:r>
              <w:rPr>
                <w:sz w:val="20"/>
                <w:szCs w:val="14"/>
                <w:highlight w:val="cyan"/>
                <w:lang w:eastAsia="zh-CN"/>
              </w:rPr>
              <w:t xml:space="preserve">Check </w:t>
            </w:r>
            <w:r>
              <w:rPr>
                <w:sz w:val="20"/>
                <w:szCs w:val="14"/>
                <w:highlight w:val="cyan"/>
                <w:lang w:eastAsia="zh-CN"/>
              </w:rPr>
              <w:t>points: April 21, April 26</w:t>
            </w:r>
          </w:p>
        </w:tc>
      </w:tr>
    </w:tbl>
    <w:p w14:paraId="1764DC8D" w14:textId="77777777" w:rsidR="00E93CD6" w:rsidRDefault="00E93CD6">
      <w:pPr>
        <w:spacing w:afterLines="50" w:after="120"/>
        <w:jc w:val="both"/>
        <w:rPr>
          <w:rFonts w:eastAsia="MS Mincho"/>
          <w:sz w:val="22"/>
          <w:szCs w:val="22"/>
          <w:lang w:val="en-US"/>
        </w:rPr>
      </w:pPr>
    </w:p>
    <w:p w14:paraId="1764DC8E" w14:textId="77777777" w:rsidR="00E93CD6" w:rsidRDefault="00823AB3">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764DC8F" w14:textId="77777777" w:rsidR="00E93CD6" w:rsidRDefault="00823A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1764DC90"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1764DC91" w14:textId="77777777" w:rsidR="00E93CD6" w:rsidRDefault="00823A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1764DC92"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1764DC93" w14:textId="77777777" w:rsidR="00E93CD6" w:rsidRDefault="00E93CD6">
      <w:pPr>
        <w:spacing w:afterLines="50" w:after="120"/>
        <w:jc w:val="both"/>
        <w:rPr>
          <w:rFonts w:eastAsia="MS Mincho"/>
          <w:sz w:val="22"/>
          <w:szCs w:val="22"/>
          <w:lang w:val="en-US"/>
        </w:rPr>
      </w:pPr>
    </w:p>
    <w:p w14:paraId="1764DC94" w14:textId="77777777" w:rsidR="00E93CD6" w:rsidRDefault="00E93CD6">
      <w:pPr>
        <w:rPr>
          <w:sz w:val="22"/>
        </w:rPr>
        <w:sectPr w:rsidR="00E93CD6">
          <w:footerReference w:type="default" r:id="rId11"/>
          <w:pgSz w:w="12240" w:h="15840"/>
          <w:pgMar w:top="851" w:right="1134" w:bottom="567" w:left="1134" w:header="720" w:footer="720" w:gutter="0"/>
          <w:cols w:space="720"/>
          <w:docGrid w:linePitch="326"/>
        </w:sectPr>
      </w:pPr>
    </w:p>
    <w:p w14:paraId="1764DC95"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1764DC96" w14:textId="77777777" w:rsidR="00E93CD6" w:rsidRDefault="00823A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93CD6" w14:paraId="1764DC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97"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98"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99"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9A"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9B"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9C"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gNB to know if the feature is </w:t>
            </w:r>
            <w:r>
              <w:rPr>
                <w:rFonts w:asciiTheme="majorHAnsi" w:hAnsiTheme="majorHAnsi" w:cstheme="majorHAnsi"/>
                <w:color w:val="000000" w:themeColor="text1"/>
                <w:szCs w:val="18"/>
              </w:rPr>
              <w:t>supported</w:t>
            </w:r>
          </w:p>
        </w:tc>
        <w:tc>
          <w:tcPr>
            <w:tcW w:w="0" w:type="auto"/>
            <w:tcBorders>
              <w:top w:val="single" w:sz="4" w:space="0" w:color="auto"/>
              <w:left w:val="single" w:sz="4" w:space="0" w:color="auto"/>
              <w:bottom w:val="single" w:sz="4" w:space="0" w:color="auto"/>
              <w:right w:val="single" w:sz="4" w:space="0" w:color="auto"/>
            </w:tcBorders>
          </w:tcPr>
          <w:p w14:paraId="1764DC9D" w14:textId="77777777" w:rsidR="00E93CD6" w:rsidRDefault="00823AB3">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1764DC9E"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9F"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A0"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w:t>
            </w:r>
            <w:r>
              <w:rPr>
                <w:rFonts w:asciiTheme="majorHAnsi" w:hAnsiTheme="majorHAnsi" w:cstheme="majorHAnsi"/>
                <w:b/>
                <w:color w:val="000000" w:themeColor="text1"/>
                <w:szCs w:val="18"/>
                <w:lang w:eastAsia="ja-JP"/>
              </w:rPr>
              <w:t xml:space="preserve">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A1"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A2"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764DCA3"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1764DCA4"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A5"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A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8"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9" w14:textId="77777777" w:rsidR="00E93CD6" w:rsidRDefault="00823AB3">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1764DCAA" w14:textId="77777777" w:rsidR="00E93CD6" w:rsidRDefault="00E93CD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B"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1764DCAC"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-5sl for 30 kHz SCS</w:t>
            </w:r>
          </w:p>
          <w:p w14:paraId="1764DCAD" w14:textId="77777777" w:rsidR="00E93CD6" w:rsidRDefault="00823AB3">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E"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F"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0"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1"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If the network </w:t>
            </w:r>
            <w:r>
              <w:rPr>
                <w:rFonts w:asciiTheme="majorHAnsi" w:hAnsiTheme="majorHAnsi" w:cstheme="majorHAnsi"/>
                <w:szCs w:val="18"/>
              </w:rPr>
              <w:t>implements the TS 38.331 CR on new SR periodicities and the UE does not according to the capability indication, the network will not assign the new SR periodicities.</w:t>
            </w:r>
          </w:p>
          <w:p w14:paraId="1764DCB2"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1764DCB3" w14:textId="77777777" w:rsidR="00E93CD6" w:rsidRDefault="00E93CD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4"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5"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6" w14:textId="77777777" w:rsidR="00E93CD6" w:rsidRDefault="00823AB3">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4DCB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64DCB8" w14:textId="77777777" w:rsidR="00E93CD6" w:rsidRDefault="00E93CD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9"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1764DCBB" w14:textId="77777777" w:rsidR="00E93CD6" w:rsidRDefault="00E93CD6">
      <w:pPr>
        <w:spacing w:afterLines="50" w:after="120"/>
        <w:jc w:val="both"/>
        <w:rPr>
          <w:sz w:val="22"/>
          <w:lang w:val="en-US"/>
        </w:rPr>
      </w:pPr>
    </w:p>
    <w:p w14:paraId="1764DCBC" w14:textId="77777777" w:rsidR="00E93CD6" w:rsidRDefault="00E93CD6">
      <w:pPr>
        <w:spacing w:afterLines="50" w:after="120"/>
        <w:jc w:val="both"/>
        <w:rPr>
          <w:sz w:val="22"/>
          <w:lang w:val="en-US"/>
        </w:rPr>
      </w:pPr>
    </w:p>
    <w:p w14:paraId="1764DCBD" w14:textId="77777777" w:rsidR="00E93CD6" w:rsidRDefault="00823AB3">
      <w:pPr>
        <w:spacing w:afterLines="50" w:after="120"/>
        <w:jc w:val="both"/>
        <w:rPr>
          <w:sz w:val="22"/>
          <w:lang w:val="en-US"/>
        </w:rPr>
      </w:pPr>
      <w:r>
        <w:rPr>
          <w:rFonts w:hint="eastAsia"/>
          <w:sz w:val="22"/>
          <w:lang w:val="en-US"/>
        </w:rPr>
        <w:t>F</w:t>
      </w:r>
      <w:r>
        <w:rPr>
          <w:sz w:val="22"/>
          <w:lang w:val="en-US"/>
        </w:rPr>
        <w:t xml:space="preserve">ollowing inputs are </w:t>
      </w:r>
      <w:r>
        <w:rPr>
          <w:sz w:val="22"/>
          <w:lang w:val="en-US"/>
        </w:rPr>
        <w:t>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CC1" w14:textId="77777777">
        <w:tc>
          <w:tcPr>
            <w:tcW w:w="638" w:type="dxa"/>
          </w:tcPr>
          <w:p w14:paraId="1764DCBE"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1764DCBF" w14:textId="77777777" w:rsidR="00E93CD6" w:rsidRDefault="00823A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1764DCC0" w14:textId="77777777" w:rsidR="00E93CD6" w:rsidRDefault="00823AB3">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 xml:space="preserve">We note that there is no prerequisite feature group for the SR periodicities, hence the periodic SR feature is in legacy de facto supported “Per UE”. Hence, it is natural if this </w:t>
            </w:r>
            <w:r>
              <w:rPr>
                <w:rFonts w:eastAsia="SimSun"/>
                <w:sz w:val="22"/>
                <w:szCs w:val="22"/>
                <w:lang w:eastAsia="zh-CN"/>
              </w:rPr>
              <w:t>extension of that feature is also supported “Per UE”.</w:t>
            </w:r>
          </w:p>
        </w:tc>
      </w:tr>
      <w:tr w:rsidR="00E93CD6" w14:paraId="1764DCC8" w14:textId="77777777">
        <w:tc>
          <w:tcPr>
            <w:tcW w:w="638" w:type="dxa"/>
          </w:tcPr>
          <w:p w14:paraId="1764DCC2"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CC3"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CC4"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14:paraId="1764DCC5"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values {5, 10}</w:t>
            </w:r>
          </w:p>
          <w:p w14:paraId="1764DCC6"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t</w:t>
            </w:r>
            <w:r>
              <w:rPr>
                <w:rFonts w:eastAsia="MS Mincho" w:cs="Batang"/>
                <w:sz w:val="20"/>
              </w:rPr>
              <w:t xml:space="preserve">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14:paraId="1764DCC7"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 {5}</w:t>
            </w:r>
          </w:p>
        </w:tc>
      </w:tr>
    </w:tbl>
    <w:p w14:paraId="1764DCC9" w14:textId="77777777" w:rsidR="00E93CD6" w:rsidRDefault="00E93CD6">
      <w:pPr>
        <w:spacing w:afterLines="50" w:after="120"/>
        <w:jc w:val="both"/>
        <w:rPr>
          <w:sz w:val="22"/>
        </w:rPr>
      </w:pPr>
    </w:p>
    <w:p w14:paraId="1764DCCA" w14:textId="77777777" w:rsidR="00E93CD6" w:rsidRDefault="00E93CD6">
      <w:pPr>
        <w:spacing w:afterLines="50" w:after="120"/>
        <w:jc w:val="both"/>
        <w:rPr>
          <w:sz w:val="22"/>
        </w:rPr>
      </w:pPr>
    </w:p>
    <w:p w14:paraId="1764DCCB" w14:textId="77777777" w:rsidR="00E93CD6" w:rsidRDefault="00823AB3">
      <w:pPr>
        <w:pStyle w:val="Heading2"/>
        <w:rPr>
          <w:b/>
          <w:bCs/>
        </w:rPr>
      </w:pPr>
      <w:r>
        <w:rPr>
          <w:b/>
          <w:bCs/>
        </w:rPr>
        <w:t>Discussion</w:t>
      </w:r>
    </w:p>
    <w:p w14:paraId="1764DCCC" w14:textId="77777777" w:rsidR="00E93CD6" w:rsidRDefault="00823AB3">
      <w:pPr>
        <w:spacing w:afterLines="50" w:after="120"/>
        <w:jc w:val="both"/>
        <w:rPr>
          <w:b/>
          <w:bCs/>
          <w:szCs w:val="21"/>
          <w:lang w:val="en-US"/>
        </w:rPr>
      </w:pPr>
      <w:r>
        <w:rPr>
          <w:b/>
          <w:bCs/>
          <w:szCs w:val="21"/>
          <w:highlight w:val="yellow"/>
          <w:lang w:val="en-US"/>
        </w:rPr>
        <w:t>Question 2-1:</w:t>
      </w:r>
    </w:p>
    <w:p w14:paraId="1764DCCD"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whether/how to introduce FG 55-1, e.g., separate FG for 30kHz SCS and 120kHz SCS or </w:t>
      </w:r>
      <w:r>
        <w:rPr>
          <w:b/>
          <w:bCs/>
          <w:szCs w:val="21"/>
          <w:lang w:val="en-US"/>
        </w:rPr>
        <w:t>report type as per UE with FR1/FR2 differentiation.</w:t>
      </w:r>
    </w:p>
    <w:tbl>
      <w:tblPr>
        <w:tblStyle w:val="TableGrid"/>
        <w:tblW w:w="4950" w:type="pct"/>
        <w:tblLook w:val="04A0" w:firstRow="1" w:lastRow="0" w:firstColumn="1" w:lastColumn="0" w:noHBand="0" w:noVBand="1"/>
      </w:tblPr>
      <w:tblGrid>
        <w:gridCol w:w="2238"/>
        <w:gridCol w:w="19921"/>
      </w:tblGrid>
      <w:tr w:rsidR="00E93CD6" w14:paraId="1764DCD0" w14:textId="77777777">
        <w:tc>
          <w:tcPr>
            <w:tcW w:w="505" w:type="pct"/>
            <w:shd w:val="clear" w:color="auto" w:fill="F2F2F2" w:themeFill="background1" w:themeFillShade="F2"/>
          </w:tcPr>
          <w:p w14:paraId="1764DCCE"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64DCCF"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CD3" w14:textId="77777777">
        <w:tc>
          <w:tcPr>
            <w:tcW w:w="505" w:type="pct"/>
          </w:tcPr>
          <w:p w14:paraId="1764DCD1" w14:textId="77777777" w:rsidR="00E93CD6" w:rsidRDefault="00823A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764DCD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the proposal in [1] above. In legacy, different SR periodicities are supported for different SCSs, while there is no FR1/FR2 differentiation. Similarly, we think a single UE feature with per UE reporting without FR1/FR2 differentiation is sufficien</w:t>
            </w:r>
            <w:r>
              <w:rPr>
                <w:rFonts w:eastAsia="SimSun"/>
                <w:color w:val="000000" w:themeColor="text1"/>
                <w:lang w:val="en-US" w:eastAsia="zh-CN"/>
              </w:rPr>
              <w:t xml:space="preserve">t. </w:t>
            </w:r>
          </w:p>
        </w:tc>
      </w:tr>
      <w:tr w:rsidR="00E93CD6" w14:paraId="1764DCD6" w14:textId="77777777">
        <w:tc>
          <w:tcPr>
            <w:tcW w:w="505" w:type="pct"/>
          </w:tcPr>
          <w:p w14:paraId="1764DCD4" w14:textId="22373157" w:rsidR="00E93CD6" w:rsidRDefault="00F35227">
            <w:pPr>
              <w:spacing w:after="0"/>
              <w:jc w:val="both"/>
              <w:rPr>
                <w:rFonts w:eastAsia="SimSun"/>
                <w:szCs w:val="21"/>
                <w:lang w:val="en-US" w:eastAsia="zh-CN"/>
              </w:rPr>
            </w:pPr>
            <w:r>
              <w:rPr>
                <w:rFonts w:eastAsia="SimSun"/>
                <w:szCs w:val="21"/>
                <w:lang w:val="en-US" w:eastAsia="zh-CN"/>
              </w:rPr>
              <w:t>Ericsson</w:t>
            </w:r>
          </w:p>
        </w:tc>
        <w:tc>
          <w:tcPr>
            <w:tcW w:w="4494" w:type="pct"/>
          </w:tcPr>
          <w:p w14:paraId="1764DCD5" w14:textId="0264FF1C" w:rsidR="00E93CD6" w:rsidRDefault="00F35227">
            <w:pPr>
              <w:spacing w:after="0"/>
              <w:rPr>
                <w:rFonts w:eastAsia="SimSun"/>
                <w:color w:val="000000" w:themeColor="text1"/>
                <w:lang w:val="en-US" w:eastAsia="zh-CN"/>
              </w:rPr>
            </w:pPr>
            <w:r>
              <w:rPr>
                <w:rFonts w:eastAsia="SimSun"/>
                <w:color w:val="000000" w:themeColor="text1"/>
                <w:lang w:val="en-US" w:eastAsia="zh-CN"/>
              </w:rPr>
              <w:t>Agree with ZTE</w:t>
            </w:r>
            <w:r w:rsidR="0096784D">
              <w:rPr>
                <w:rFonts w:eastAsia="SimSun"/>
                <w:color w:val="000000" w:themeColor="text1"/>
                <w:lang w:val="en-US" w:eastAsia="zh-CN"/>
              </w:rPr>
              <w:t xml:space="preserve"> but have not a strong view.</w:t>
            </w:r>
          </w:p>
        </w:tc>
      </w:tr>
      <w:tr w:rsidR="00E93CD6" w14:paraId="1764DCD9" w14:textId="77777777">
        <w:tc>
          <w:tcPr>
            <w:tcW w:w="505" w:type="pct"/>
          </w:tcPr>
          <w:p w14:paraId="1764DCD7" w14:textId="77777777" w:rsidR="00E93CD6" w:rsidRDefault="00E93CD6">
            <w:pPr>
              <w:spacing w:after="0"/>
              <w:jc w:val="both"/>
              <w:rPr>
                <w:rFonts w:eastAsia="SimSun"/>
                <w:szCs w:val="21"/>
                <w:lang w:val="en-US" w:eastAsia="zh-CN"/>
              </w:rPr>
            </w:pPr>
          </w:p>
        </w:tc>
        <w:tc>
          <w:tcPr>
            <w:tcW w:w="4494" w:type="pct"/>
          </w:tcPr>
          <w:p w14:paraId="1764DCD8" w14:textId="77777777" w:rsidR="00E93CD6" w:rsidRDefault="00E93CD6">
            <w:pPr>
              <w:spacing w:after="0"/>
              <w:rPr>
                <w:rFonts w:eastAsia="SimSun"/>
                <w:color w:val="000000" w:themeColor="text1"/>
                <w:lang w:val="en-US" w:eastAsia="zh-CN"/>
              </w:rPr>
            </w:pPr>
          </w:p>
        </w:tc>
      </w:tr>
    </w:tbl>
    <w:p w14:paraId="1764DCDA" w14:textId="77777777" w:rsidR="00E93CD6" w:rsidRDefault="00E93CD6">
      <w:pPr>
        <w:spacing w:afterLines="50" w:after="120"/>
        <w:jc w:val="both"/>
        <w:rPr>
          <w:sz w:val="22"/>
        </w:rPr>
      </w:pPr>
    </w:p>
    <w:p w14:paraId="1764DCDB" w14:textId="77777777" w:rsidR="00E93CD6" w:rsidRDefault="00E93CD6">
      <w:pPr>
        <w:spacing w:afterLines="50" w:after="120"/>
        <w:jc w:val="both"/>
        <w:rPr>
          <w:sz w:val="22"/>
          <w:lang w:val="en-US"/>
        </w:rPr>
      </w:pPr>
    </w:p>
    <w:p w14:paraId="1764DCD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1764DCDD" w14:textId="77777777" w:rsidR="00E93CD6" w:rsidRDefault="00823AB3">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93CD6" w14:paraId="1764DCE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DE"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1764DCDF"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E0"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E1"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E2"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E3"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E4" w14:textId="77777777" w:rsidR="00E93CD6" w:rsidRDefault="00823AB3">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w:t>
            </w:r>
            <w:r>
              <w:rPr>
                <w:rFonts w:asciiTheme="majorHAnsi" w:hAnsiTheme="majorHAnsi" w:cstheme="majorHAnsi"/>
                <w:color w:val="000000" w:themeColor="text1"/>
                <w:szCs w:val="18"/>
              </w:rPr>
              <w:t>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1764DCE5"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E6"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E7"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E8"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of </w:t>
            </w:r>
            <w:r>
              <w:rPr>
                <w:rFonts w:asciiTheme="majorHAnsi" w:hAnsiTheme="majorHAnsi" w:cstheme="majorHAnsi"/>
                <w:color w:val="000000" w:themeColor="text1"/>
                <w:szCs w:val="18"/>
              </w:rPr>
              <w:t>FDD/TDD differentiation</w:t>
            </w:r>
          </w:p>
        </w:tc>
        <w:tc>
          <w:tcPr>
            <w:tcW w:w="0" w:type="auto"/>
            <w:tcBorders>
              <w:top w:val="single" w:sz="4" w:space="0" w:color="auto"/>
              <w:left w:val="single" w:sz="4" w:space="0" w:color="auto"/>
              <w:bottom w:val="single" w:sz="4" w:space="0" w:color="auto"/>
              <w:right w:val="single" w:sz="4" w:space="0" w:color="auto"/>
            </w:tcBorders>
          </w:tcPr>
          <w:p w14:paraId="1764DCE9"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64DCEA"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64DCEB"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EC"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EE"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EF" w14:textId="77777777" w:rsidR="00E93CD6" w:rsidRDefault="00823AB3">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0" w14:textId="77777777" w:rsidR="00E93CD6" w:rsidRDefault="00823AB3">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1" w14:textId="77777777" w:rsidR="00E93CD6" w:rsidRDefault="00823AB3">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2"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3" w14:textId="77777777" w:rsidR="00E93CD6" w:rsidRDefault="00823AB3">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4"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5"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6" w14:textId="77777777" w:rsidR="00E93CD6" w:rsidRDefault="00823AB3">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7"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8"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9"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A"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B"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1764DCFD" w14:textId="77777777" w:rsidR="00E93CD6" w:rsidRDefault="00E93CD6">
      <w:pPr>
        <w:spacing w:afterLines="50" w:after="120"/>
        <w:jc w:val="both"/>
        <w:rPr>
          <w:sz w:val="22"/>
          <w:lang w:val="en-US"/>
        </w:rPr>
      </w:pPr>
    </w:p>
    <w:p w14:paraId="1764DCFE" w14:textId="77777777" w:rsidR="00E93CD6" w:rsidRDefault="00E93CD6">
      <w:pPr>
        <w:spacing w:afterLines="50" w:after="120"/>
        <w:jc w:val="both"/>
        <w:rPr>
          <w:sz w:val="22"/>
          <w:lang w:val="en-US"/>
        </w:rPr>
      </w:pPr>
    </w:p>
    <w:p w14:paraId="1764DCFF"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D03" w14:textId="77777777">
        <w:tc>
          <w:tcPr>
            <w:tcW w:w="638" w:type="dxa"/>
          </w:tcPr>
          <w:p w14:paraId="1764DD00" w14:textId="77777777" w:rsidR="00E93CD6" w:rsidRDefault="00823AB3">
            <w:pPr>
              <w:spacing w:after="0" w:line="240" w:lineRule="auto"/>
              <w:jc w:val="both"/>
              <w:rPr>
                <w:rFonts w:eastAsia="MS Mincho"/>
                <w:sz w:val="22"/>
              </w:rPr>
            </w:pPr>
            <w:r>
              <w:rPr>
                <w:rFonts w:eastAsia="MS Mincho"/>
                <w:sz w:val="22"/>
              </w:rPr>
              <w:t>[2]</w:t>
            </w:r>
          </w:p>
        </w:tc>
        <w:tc>
          <w:tcPr>
            <w:tcW w:w="1822" w:type="dxa"/>
          </w:tcPr>
          <w:p w14:paraId="1764DD01" w14:textId="77777777" w:rsidR="00E93CD6" w:rsidRDefault="00823AB3">
            <w:pPr>
              <w:spacing w:after="0" w:line="240" w:lineRule="auto"/>
              <w:jc w:val="both"/>
              <w:rPr>
                <w:rFonts w:eastAsia="MS Mincho"/>
                <w:sz w:val="22"/>
              </w:rPr>
            </w:pPr>
            <w:r>
              <w:rPr>
                <w:rFonts w:eastAsia="MS Mincho"/>
                <w:sz w:val="22"/>
              </w:rPr>
              <w:t>ZTE</w:t>
            </w:r>
          </w:p>
        </w:tc>
        <w:tc>
          <w:tcPr>
            <w:tcW w:w="19923" w:type="dxa"/>
          </w:tcPr>
          <w:p w14:paraId="1764DD02" w14:textId="77777777" w:rsidR="00E93CD6" w:rsidRDefault="00823AB3">
            <w:pPr>
              <w:tabs>
                <w:tab w:val="center" w:pos="4608"/>
                <w:tab w:val="right" w:pos="9216"/>
              </w:tabs>
              <w:snapToGrid w:val="0"/>
              <w:spacing w:after="0" w:line="240" w:lineRule="auto"/>
              <w:jc w:val="both"/>
              <w:rPr>
                <w:rFonts w:eastAsia="SimSun"/>
                <w:sz w:val="22"/>
                <w:lang w:eastAsia="zh-CN"/>
              </w:rPr>
            </w:pPr>
            <w:r>
              <w:rPr>
                <w:rFonts w:eastAsia="SimSun"/>
                <w:sz w:val="22"/>
                <w:lang w:eastAsia="zh-CN"/>
              </w:rPr>
              <w:t xml:space="preserve">According to the above agreement, it is </w:t>
            </w:r>
            <w:r>
              <w:rPr>
                <w:rFonts w:eastAsia="SimSun"/>
                <w:sz w:val="22"/>
                <w:lang w:eastAsia="zh-CN"/>
              </w:rPr>
              <w:t xml:space="preserve">straightforward to introduce a new FG to let UE report this Rel-18 UE capability. The prerequisite should be the basic NR positioning FG, </w:t>
            </w:r>
            <w:proofErr w:type="gramStart"/>
            <w:r>
              <w:rPr>
                <w:rFonts w:eastAsia="SimSun"/>
                <w:sz w:val="22"/>
                <w:lang w:eastAsia="zh-CN"/>
              </w:rPr>
              <w:t>i.e.</w:t>
            </w:r>
            <w:proofErr w:type="gramEnd"/>
            <w:r>
              <w:rPr>
                <w:rFonts w:eastAsia="SimSun"/>
                <w:sz w:val="22"/>
                <w:lang w:eastAsia="zh-CN"/>
              </w:rPr>
              <w:t xml:space="preserve"> 13-1. Hence, this new FG will be common for all positioning methods and for both RRC_INACTIVE and RRC_CONNECTED s</w:t>
            </w:r>
            <w:r>
              <w:rPr>
                <w:rFonts w:eastAsia="SimSun"/>
                <w:sz w:val="22"/>
                <w:lang w:eastAsia="zh-CN"/>
              </w:rPr>
              <w:t>tates.</w:t>
            </w:r>
          </w:p>
        </w:tc>
      </w:tr>
      <w:tr w:rsidR="00E93CD6" w14:paraId="1764DD07" w14:textId="77777777">
        <w:tc>
          <w:tcPr>
            <w:tcW w:w="638" w:type="dxa"/>
          </w:tcPr>
          <w:p w14:paraId="1764DD04"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D05"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D06" w14:textId="77777777" w:rsidR="00E93CD6" w:rsidRDefault="00823AB3">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1764DD08" w14:textId="77777777" w:rsidR="00E93CD6" w:rsidRDefault="00E93CD6">
      <w:pPr>
        <w:spacing w:afterLines="50" w:after="120"/>
        <w:jc w:val="both"/>
        <w:rPr>
          <w:sz w:val="22"/>
        </w:rPr>
      </w:pPr>
    </w:p>
    <w:p w14:paraId="1764DD09" w14:textId="77777777" w:rsidR="00E93CD6" w:rsidRDefault="00E93CD6">
      <w:pPr>
        <w:spacing w:afterLines="50" w:after="120"/>
        <w:jc w:val="both"/>
        <w:rPr>
          <w:sz w:val="22"/>
        </w:rPr>
      </w:pPr>
    </w:p>
    <w:p w14:paraId="1764DD0A" w14:textId="77777777" w:rsidR="00E93CD6" w:rsidRDefault="00823AB3">
      <w:pPr>
        <w:pStyle w:val="Heading2"/>
        <w:rPr>
          <w:b/>
          <w:bCs/>
        </w:rPr>
      </w:pPr>
      <w:r>
        <w:rPr>
          <w:b/>
          <w:bCs/>
        </w:rPr>
        <w:t>Discussion</w:t>
      </w:r>
    </w:p>
    <w:p w14:paraId="1764DD0B" w14:textId="77777777" w:rsidR="00E93CD6" w:rsidRDefault="00823AB3">
      <w:pPr>
        <w:spacing w:afterLines="50" w:after="120"/>
        <w:jc w:val="both"/>
        <w:rPr>
          <w:b/>
          <w:bCs/>
          <w:szCs w:val="21"/>
          <w:lang w:val="en-US"/>
        </w:rPr>
      </w:pPr>
      <w:r>
        <w:rPr>
          <w:b/>
          <w:bCs/>
          <w:szCs w:val="21"/>
          <w:highlight w:val="yellow"/>
          <w:lang w:val="en-US"/>
        </w:rPr>
        <w:t>Question 3-1:</w:t>
      </w:r>
    </w:p>
    <w:p w14:paraId="1764DD0C"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50" w:type="pct"/>
        <w:tblLook w:val="04A0" w:firstRow="1" w:lastRow="0" w:firstColumn="1" w:lastColumn="0" w:noHBand="0" w:noVBand="1"/>
      </w:tblPr>
      <w:tblGrid>
        <w:gridCol w:w="2238"/>
        <w:gridCol w:w="19921"/>
      </w:tblGrid>
      <w:tr w:rsidR="00E93CD6" w14:paraId="1764DD0F" w14:textId="77777777">
        <w:tc>
          <w:tcPr>
            <w:tcW w:w="505" w:type="pct"/>
            <w:shd w:val="clear" w:color="auto" w:fill="F2F2F2" w:themeFill="background1" w:themeFillShade="F2"/>
          </w:tcPr>
          <w:p w14:paraId="1764DD0D"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64DD0E"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D13" w14:textId="77777777">
        <w:tc>
          <w:tcPr>
            <w:tcW w:w="505" w:type="pct"/>
          </w:tcPr>
          <w:p w14:paraId="1764DD10" w14:textId="77777777" w:rsidR="00E93CD6" w:rsidRDefault="00823AB3">
            <w:pPr>
              <w:spacing w:after="0"/>
              <w:jc w:val="both"/>
              <w:rPr>
                <w:rFonts w:eastAsia="SimSun"/>
                <w:szCs w:val="21"/>
                <w:lang w:val="en-US" w:eastAsia="zh-CN"/>
              </w:rPr>
            </w:pPr>
            <w:r>
              <w:rPr>
                <w:rFonts w:eastAsia="SimSun"/>
                <w:szCs w:val="21"/>
                <w:lang w:val="en-US" w:eastAsia="zh-CN"/>
              </w:rPr>
              <w:t>Intel</w:t>
            </w:r>
          </w:p>
        </w:tc>
        <w:tc>
          <w:tcPr>
            <w:tcW w:w="4494" w:type="pct"/>
          </w:tcPr>
          <w:p w14:paraId="1764DD11"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1764DD1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w:t>
            </w:r>
            <w:r>
              <w:rPr>
                <w:rFonts w:eastAsia="SimSun"/>
                <w:color w:val="FF0000"/>
                <w:lang w:val="en-US" w:eastAsia="zh-CN"/>
              </w:rPr>
              <w:t>es from {2, 4, 6, 12}</w:t>
            </w:r>
          </w:p>
        </w:tc>
      </w:tr>
      <w:tr w:rsidR="00E93CD6" w14:paraId="1764DD16" w14:textId="77777777">
        <w:tc>
          <w:tcPr>
            <w:tcW w:w="505" w:type="pct"/>
          </w:tcPr>
          <w:p w14:paraId="1764DD14" w14:textId="77777777" w:rsidR="00E93CD6" w:rsidRDefault="00823AB3">
            <w:pPr>
              <w:spacing w:after="0"/>
              <w:jc w:val="both"/>
              <w:rPr>
                <w:rFonts w:eastAsia="SimSun"/>
                <w:szCs w:val="21"/>
                <w:lang w:val="en-US" w:eastAsia="zh-CN"/>
              </w:rPr>
            </w:pPr>
            <w:r>
              <w:rPr>
                <w:rFonts w:eastAsia="SimSun" w:hint="eastAsia"/>
                <w:szCs w:val="21"/>
                <w:lang w:val="en-US" w:eastAsia="zh-CN"/>
              </w:rPr>
              <w:t>ZTE</w:t>
            </w:r>
          </w:p>
        </w:tc>
        <w:tc>
          <w:tcPr>
            <w:tcW w:w="4494" w:type="pct"/>
          </w:tcPr>
          <w:p w14:paraId="1764DD15" w14:textId="77777777" w:rsidR="00E93CD6" w:rsidRDefault="00823AB3">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93CD6" w14:paraId="1764DD19" w14:textId="77777777">
        <w:tc>
          <w:tcPr>
            <w:tcW w:w="505" w:type="pct"/>
          </w:tcPr>
          <w:p w14:paraId="1764DD17" w14:textId="77777777" w:rsidR="00E93CD6" w:rsidRDefault="00E93CD6">
            <w:pPr>
              <w:spacing w:after="0"/>
              <w:jc w:val="both"/>
              <w:rPr>
                <w:rFonts w:eastAsia="SimSun"/>
                <w:szCs w:val="21"/>
                <w:lang w:val="en-US" w:eastAsia="zh-CN"/>
              </w:rPr>
            </w:pPr>
          </w:p>
        </w:tc>
        <w:tc>
          <w:tcPr>
            <w:tcW w:w="4494" w:type="pct"/>
          </w:tcPr>
          <w:p w14:paraId="1764DD18" w14:textId="77777777" w:rsidR="00E93CD6" w:rsidRDefault="00E93CD6">
            <w:pPr>
              <w:spacing w:after="0"/>
              <w:rPr>
                <w:rFonts w:eastAsia="SimSun"/>
                <w:color w:val="000000" w:themeColor="text1"/>
                <w:lang w:val="en-US" w:eastAsia="zh-CN"/>
              </w:rPr>
            </w:pPr>
          </w:p>
        </w:tc>
      </w:tr>
    </w:tbl>
    <w:p w14:paraId="1764DD1A" w14:textId="77777777" w:rsidR="00E93CD6" w:rsidRDefault="00E93CD6">
      <w:pPr>
        <w:spacing w:afterLines="50" w:after="120"/>
        <w:jc w:val="both"/>
        <w:rPr>
          <w:sz w:val="22"/>
          <w:lang w:val="en-US"/>
        </w:rPr>
      </w:pPr>
    </w:p>
    <w:p w14:paraId="1764DD1B" w14:textId="77777777" w:rsidR="00E93CD6" w:rsidRDefault="00E93CD6">
      <w:pPr>
        <w:spacing w:afterLines="50" w:after="120"/>
        <w:jc w:val="both"/>
        <w:rPr>
          <w:sz w:val="22"/>
          <w:lang w:val="en-US"/>
        </w:rPr>
      </w:pPr>
    </w:p>
    <w:p w14:paraId="1764DD1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1764DD1D" w14:textId="77777777" w:rsidR="00E93CD6" w:rsidRDefault="00823AB3">
      <w:pPr>
        <w:spacing w:afterLines="50" w:after="120"/>
        <w:jc w:val="both"/>
        <w:rPr>
          <w:sz w:val="22"/>
        </w:rPr>
      </w:pPr>
      <w:r>
        <w:rPr>
          <w:sz w:val="22"/>
          <w:lang w:val="en-US"/>
        </w:rPr>
        <w:t>To be updated</w:t>
      </w:r>
    </w:p>
    <w:p w14:paraId="1764DD1E" w14:textId="77777777" w:rsidR="00E93CD6" w:rsidRDefault="00E93CD6">
      <w:pPr>
        <w:spacing w:afterLines="50" w:after="120"/>
        <w:jc w:val="both"/>
        <w:rPr>
          <w:sz w:val="22"/>
          <w:lang w:val="en-US"/>
        </w:rPr>
      </w:pPr>
    </w:p>
    <w:p w14:paraId="1764DD1F" w14:textId="77777777" w:rsidR="00E93CD6" w:rsidRDefault="00823AB3">
      <w:pPr>
        <w:pStyle w:val="Heading1"/>
        <w:spacing w:before="180" w:after="120"/>
        <w:rPr>
          <w:rFonts w:eastAsia="MS Mincho"/>
          <w:b/>
          <w:bCs/>
          <w:szCs w:val="24"/>
          <w:lang w:val="en-US"/>
        </w:rPr>
      </w:pPr>
      <w:r>
        <w:rPr>
          <w:rFonts w:eastAsia="MS Mincho"/>
          <w:b/>
          <w:bCs/>
          <w:szCs w:val="24"/>
          <w:lang w:val="en-US"/>
        </w:rPr>
        <w:t>References</w:t>
      </w:r>
    </w:p>
    <w:p w14:paraId="1764DD20" w14:textId="77777777" w:rsidR="00E93CD6" w:rsidRDefault="00823AB3">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1764DD21"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764DD22"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Pr>
          <w:rFonts w:eastAsia="MS Mincho"/>
          <w:sz w:val="22"/>
        </w:rPr>
        <w:t>R1-2302899</w:t>
      </w:r>
      <w:r>
        <w:rPr>
          <w:rFonts w:eastAsia="MS Mincho"/>
          <w:sz w:val="22"/>
        </w:rPr>
        <w:tab/>
        <w:t>Initial views on UE features for TEI-18</w:t>
      </w:r>
      <w:r>
        <w:rPr>
          <w:rFonts w:eastAsia="MS Mincho"/>
          <w:sz w:val="22"/>
        </w:rPr>
        <w:tab/>
        <w:t>Nokia, Nokia Shanghai Bell</w:t>
      </w:r>
    </w:p>
    <w:bookmarkEnd w:id="3"/>
    <w:sectPr w:rsidR="00E93CD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DD25" w14:textId="77777777" w:rsidR="00E93CD6" w:rsidRDefault="00823AB3">
      <w:pPr>
        <w:spacing w:line="240" w:lineRule="auto"/>
      </w:pPr>
      <w:r>
        <w:separator/>
      </w:r>
    </w:p>
  </w:endnote>
  <w:endnote w:type="continuationSeparator" w:id="0">
    <w:p w14:paraId="1764DD26" w14:textId="77777777" w:rsidR="00E93CD6" w:rsidRDefault="00823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DD27" w14:textId="77777777" w:rsidR="00E93CD6" w:rsidRDefault="00823A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DD23" w14:textId="77777777" w:rsidR="00E93CD6" w:rsidRDefault="00823AB3">
      <w:pPr>
        <w:spacing w:after="0"/>
      </w:pPr>
      <w:r>
        <w:separator/>
      </w:r>
    </w:p>
  </w:footnote>
  <w:footnote w:type="continuationSeparator" w:id="0">
    <w:p w14:paraId="1764DD24" w14:textId="77777777" w:rsidR="00E93CD6" w:rsidRDefault="00823A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3004563">
    <w:abstractNumId w:val="0"/>
  </w:num>
  <w:num w:numId="2" w16cid:durableId="60254674">
    <w:abstractNumId w:val="3"/>
  </w:num>
  <w:num w:numId="3" w16cid:durableId="426074119">
    <w:abstractNumId w:val="13"/>
  </w:num>
  <w:num w:numId="4" w16cid:durableId="930040823">
    <w:abstractNumId w:val="15"/>
  </w:num>
  <w:num w:numId="5" w16cid:durableId="1943226603">
    <w:abstractNumId w:val="1"/>
  </w:num>
  <w:num w:numId="6" w16cid:durableId="584654433">
    <w:abstractNumId w:val="4"/>
  </w:num>
  <w:num w:numId="7" w16cid:durableId="1245723005">
    <w:abstractNumId w:val="10"/>
  </w:num>
  <w:num w:numId="8" w16cid:durableId="10884566">
    <w:abstractNumId w:val="6"/>
  </w:num>
  <w:num w:numId="9" w16cid:durableId="700014903">
    <w:abstractNumId w:val="2"/>
  </w:num>
  <w:num w:numId="10" w16cid:durableId="2092192605">
    <w:abstractNumId w:val="7"/>
  </w:num>
  <w:num w:numId="11" w16cid:durableId="1404062689">
    <w:abstractNumId w:val="12"/>
  </w:num>
  <w:num w:numId="12" w16cid:durableId="1056315310">
    <w:abstractNumId w:val="8"/>
  </w:num>
  <w:num w:numId="13" w16cid:durableId="599338849">
    <w:abstractNumId w:val="9"/>
  </w:num>
  <w:num w:numId="14" w16cid:durableId="485168220">
    <w:abstractNumId w:val="5"/>
  </w:num>
  <w:num w:numId="15" w16cid:durableId="332489783">
    <w:abstractNumId w:val="14"/>
  </w:num>
  <w:num w:numId="16" w16cid:durableId="1235555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4DC81"/>
  <w15:docId w15:val="{6AAC0119-C95B-44BD-8922-39A69F0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38308-4CC9-4969-BFA2-9B7219084D1D}">
  <ds:schemaRefs/>
</ds:datastoreItem>
</file>

<file path=customXml/itemProps2.xml><?xml version="1.0" encoding="utf-8"?>
<ds:datastoreItem xmlns:ds="http://schemas.openxmlformats.org/officeDocument/2006/customXml" ds:itemID="{0FB9CB42-D87C-47C7-9AF2-FE36D13253B7}">
  <ds:schemaRefs/>
</ds:datastoreItem>
</file>

<file path=customXml/itemProps3.xml><?xml version="1.0" encoding="utf-8"?>
<ds:datastoreItem xmlns:ds="http://schemas.openxmlformats.org/officeDocument/2006/customXml" ds:itemID="{9A26BDE4-9BD3-4784-BEEF-A47890216F58}">
  <ds:schemaRefs/>
</ds:datastoreItem>
</file>

<file path=customXml/itemProps4.xml><?xml version="1.0" encoding="utf-8"?>
<ds:datastoreItem xmlns:ds="http://schemas.openxmlformats.org/officeDocument/2006/customXml" ds:itemID="{E69041EB-C4FD-4F12-8717-48ABBF7668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Company>NTTDoCoMo</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Mattias Frenne</cp:lastModifiedBy>
  <cp:revision>2</cp:revision>
  <cp:lastPrinted>2017-08-09T04:40:00Z</cp:lastPrinted>
  <dcterms:created xsi:type="dcterms:W3CDTF">2023-04-18T07:31:00Z</dcterms:created>
  <dcterms:modified xsi:type="dcterms:W3CDTF">2023-04-18T07:31:00Z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