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宋体"/>
                <w:lang w:val="en-US" w:eastAsia="zh-CN"/>
              </w:rPr>
            </w:pPr>
            <w:r>
              <w:rPr>
                <w:rFonts w:eastAsia="宋体"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0484B">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0484B">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0484B">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6B667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5F7BDD99" w14:textId="77777777" w:rsidR="00492018" w:rsidRPr="00AF55EB" w:rsidRDefault="00492018" w:rsidP="006B6670">
            <w:pPr>
              <w:spacing w:after="0"/>
              <w:jc w:val="center"/>
              <w:rPr>
                <w:rFonts w:eastAsiaTheme="minorEastAsia"/>
                <w:lang w:val="en-US" w:eastAsia="zh-CN"/>
              </w:rPr>
            </w:pPr>
            <w:r>
              <w:rPr>
                <w:rFonts w:eastAsiaTheme="minorEastAsia"/>
                <w:lang w:val="en-US" w:eastAsia="zh-CN"/>
              </w:rPr>
              <w:t>zuozhisong@oppo.com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f"/>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f"/>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proofErr w:type="spellStart"/>
      <w:r>
        <w:rPr>
          <w:rFonts w:eastAsia="Yu Mincho"/>
          <w:b/>
          <w:bCs/>
          <w:lang w:val="en-US" w:eastAsia="ja-JP"/>
        </w:rPr>
        <w:t>folloiwng</w:t>
      </w:r>
      <w:proofErr w:type="spellEnd"/>
      <w:r>
        <w:rPr>
          <w:rFonts w:eastAsia="Yu Mincho"/>
          <w:b/>
          <w:bCs/>
          <w:lang w:val="en-US" w:eastAsia="ja-JP"/>
        </w:rPr>
        <w:t xml:space="preserve"> sections.</w:t>
      </w:r>
    </w:p>
    <w:p w14:paraId="5ECA1CE7" w14:textId="77777777" w:rsidR="00A46B36" w:rsidRDefault="00354F0D">
      <w:pPr>
        <w:pStyle w:val="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f"/>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aff"/>
        <w:numPr>
          <w:ilvl w:val="1"/>
          <w:numId w:val="15"/>
        </w:numPr>
        <w:rPr>
          <w:sz w:val="20"/>
          <w:szCs w:val="21"/>
        </w:rPr>
      </w:pPr>
      <w:r>
        <w:rPr>
          <w:rFonts w:eastAsia="Yu Mincho"/>
          <w:sz w:val="20"/>
          <w:szCs w:val="21"/>
        </w:rPr>
        <w:t>Data CH [8]</w:t>
      </w:r>
    </w:p>
    <w:p w14:paraId="6ED39E0A" w14:textId="77777777" w:rsidR="00A46B36" w:rsidRDefault="00354F0D">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f"/>
        <w:numPr>
          <w:ilvl w:val="1"/>
          <w:numId w:val="15"/>
        </w:numPr>
        <w:rPr>
          <w:sz w:val="20"/>
          <w:szCs w:val="21"/>
        </w:rPr>
      </w:pPr>
      <w:r>
        <w:rPr>
          <w:rFonts w:eastAsia="Yu Mincho"/>
          <w:sz w:val="20"/>
          <w:szCs w:val="21"/>
        </w:rPr>
        <w:t>SSB w/ 30KHz SCS [8]</w:t>
      </w:r>
    </w:p>
    <w:p w14:paraId="35DEEE19" w14:textId="77777777" w:rsidR="00A46B36" w:rsidRDefault="00354F0D">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aff"/>
        <w:numPr>
          <w:ilvl w:val="1"/>
          <w:numId w:val="15"/>
        </w:numPr>
        <w:rPr>
          <w:sz w:val="20"/>
          <w:szCs w:val="21"/>
        </w:rPr>
      </w:pPr>
      <w:r>
        <w:rPr>
          <w:rFonts w:eastAsia="Yu Mincho"/>
          <w:sz w:val="20"/>
          <w:szCs w:val="21"/>
        </w:rPr>
        <w:t>PBCH [5, 11, 12, 13, 14, 16, 20, 22]</w:t>
      </w:r>
    </w:p>
    <w:p w14:paraId="4B30C98D" w14:textId="77777777" w:rsidR="00A46B36" w:rsidRDefault="00354F0D">
      <w:pPr>
        <w:pStyle w:val="aff"/>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f"/>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aff"/>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aff"/>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f"/>
        <w:numPr>
          <w:ilvl w:val="3"/>
          <w:numId w:val="15"/>
        </w:numPr>
        <w:rPr>
          <w:i/>
          <w:iCs/>
          <w:sz w:val="20"/>
          <w:szCs w:val="21"/>
        </w:rPr>
      </w:pPr>
      <w:r>
        <w:rPr>
          <w:rFonts w:eastAsiaTheme="minorEastAsia" w:hint="eastAsia"/>
          <w:sz w:val="20"/>
          <w:szCs w:val="21"/>
          <w:lang w:val="en-US"/>
        </w:rPr>
        <w:lastRenderedPageBreak/>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f"/>
        <w:numPr>
          <w:ilvl w:val="1"/>
          <w:numId w:val="15"/>
        </w:numPr>
        <w:rPr>
          <w:sz w:val="20"/>
          <w:szCs w:val="21"/>
        </w:rPr>
      </w:pPr>
      <w:r>
        <w:rPr>
          <w:rFonts w:eastAsia="Yu Mincho"/>
          <w:sz w:val="20"/>
          <w:szCs w:val="21"/>
        </w:rPr>
        <w:t>PDCCH scheduling Msg2/4 [5]</w:t>
      </w:r>
    </w:p>
    <w:p w14:paraId="60188177" w14:textId="77777777" w:rsidR="00A46B36" w:rsidRDefault="00354F0D">
      <w:pPr>
        <w:pStyle w:val="aff"/>
        <w:numPr>
          <w:ilvl w:val="1"/>
          <w:numId w:val="15"/>
        </w:numPr>
        <w:rPr>
          <w:sz w:val="20"/>
          <w:szCs w:val="21"/>
        </w:rPr>
      </w:pPr>
      <w:r>
        <w:rPr>
          <w:rFonts w:eastAsia="Yu Mincho"/>
          <w:sz w:val="20"/>
          <w:szCs w:val="21"/>
        </w:rPr>
        <w:t>PDSCH [5, 10, 12, 14, 21, 23]</w:t>
      </w:r>
    </w:p>
    <w:p w14:paraId="272BA4D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aff"/>
        <w:numPr>
          <w:ilvl w:val="1"/>
          <w:numId w:val="15"/>
        </w:numPr>
        <w:rPr>
          <w:sz w:val="20"/>
          <w:szCs w:val="21"/>
        </w:rPr>
      </w:pPr>
      <w:r>
        <w:rPr>
          <w:rFonts w:eastAsia="Yu Mincho"/>
          <w:sz w:val="20"/>
          <w:szCs w:val="21"/>
        </w:rPr>
        <w:t>PUCCH [5, 12, 16, 21]</w:t>
      </w:r>
    </w:p>
    <w:p w14:paraId="7903AE5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f"/>
        <w:numPr>
          <w:ilvl w:val="1"/>
          <w:numId w:val="15"/>
        </w:numPr>
        <w:rPr>
          <w:sz w:val="20"/>
          <w:szCs w:val="21"/>
        </w:rPr>
      </w:pPr>
      <w:r>
        <w:rPr>
          <w:rFonts w:eastAsia="Yu Mincho"/>
          <w:sz w:val="20"/>
          <w:szCs w:val="21"/>
        </w:rPr>
        <w:t>PUSCH [5, 10, 11, 12, 14, 16, 21, 23]</w:t>
      </w:r>
    </w:p>
    <w:p w14:paraId="1D70463F" w14:textId="77777777" w:rsidR="00A46B36" w:rsidRDefault="00354F0D">
      <w:pPr>
        <w:pStyle w:val="aff"/>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f"/>
        <w:numPr>
          <w:ilvl w:val="1"/>
          <w:numId w:val="15"/>
        </w:numPr>
        <w:rPr>
          <w:sz w:val="20"/>
          <w:szCs w:val="21"/>
        </w:rPr>
      </w:pPr>
      <w:r>
        <w:rPr>
          <w:rFonts w:eastAsia="Yu Mincho"/>
          <w:sz w:val="20"/>
          <w:szCs w:val="21"/>
        </w:rPr>
        <w:t>Msg3 [5, 12]</w:t>
      </w:r>
    </w:p>
    <w:p w14:paraId="2E13D271" w14:textId="77777777" w:rsidR="00A46B36" w:rsidRDefault="00354F0D">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0484B">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65FC56DC" w14:textId="77777777" w:rsidR="00DB389C" w:rsidRDefault="00DB389C" w:rsidP="0050484B">
            <w:pPr>
              <w:jc w:val="left"/>
              <w:rPr>
                <w:rFonts w:eastAsiaTheme="minorEastAsia"/>
                <w:lang w:val="en-US" w:eastAsia="zh-CN"/>
              </w:rPr>
            </w:pPr>
            <w:r>
              <w:rPr>
                <w:rFonts w:eastAsiaTheme="minorEastAsia"/>
                <w:lang w:val="en-US" w:eastAsia="zh-CN"/>
              </w:rPr>
              <w:t xml:space="preserve">Therefore, observations on all options can both be obtained. </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aff"/>
        <w:numPr>
          <w:ilvl w:val="0"/>
          <w:numId w:val="15"/>
        </w:numPr>
        <w:rPr>
          <w:sz w:val="20"/>
          <w:szCs w:val="21"/>
          <w:lang w:val="en-US"/>
        </w:rPr>
      </w:pPr>
      <w:r>
        <w:rPr>
          <w:sz w:val="20"/>
          <w:szCs w:val="21"/>
          <w:lang w:val="en-US"/>
        </w:rPr>
        <w:lastRenderedPageBreak/>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8"/>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f"/>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aff"/>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aff"/>
        <w:numPr>
          <w:ilvl w:val="0"/>
          <w:numId w:val="15"/>
        </w:numPr>
        <w:rPr>
          <w:sz w:val="20"/>
          <w:szCs w:val="21"/>
        </w:rPr>
      </w:pPr>
      <w:r>
        <w:rPr>
          <w:rFonts w:eastAsia="Yu Mincho"/>
          <w:sz w:val="20"/>
          <w:szCs w:val="21"/>
        </w:rPr>
        <w:t>Considered UE type</w:t>
      </w:r>
    </w:p>
    <w:p w14:paraId="240AA7BA" w14:textId="77777777" w:rsidR="00A46B36" w:rsidRDefault="00354F0D">
      <w:pPr>
        <w:pStyle w:val="aff"/>
        <w:numPr>
          <w:ilvl w:val="1"/>
          <w:numId w:val="15"/>
        </w:numPr>
        <w:rPr>
          <w:sz w:val="20"/>
          <w:szCs w:val="21"/>
        </w:rPr>
      </w:pPr>
      <w:r>
        <w:rPr>
          <w:sz w:val="20"/>
          <w:szCs w:val="21"/>
        </w:rPr>
        <w:t>Reference UE</w:t>
      </w:r>
    </w:p>
    <w:p w14:paraId="47D14F94" w14:textId="77777777" w:rsidR="00A46B36" w:rsidRDefault="00354F0D">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aff"/>
        <w:numPr>
          <w:ilvl w:val="1"/>
          <w:numId w:val="15"/>
        </w:numPr>
        <w:rPr>
          <w:sz w:val="20"/>
          <w:szCs w:val="21"/>
        </w:rPr>
      </w:pPr>
      <w:r>
        <w:rPr>
          <w:sz w:val="20"/>
          <w:szCs w:val="21"/>
        </w:rPr>
        <w:t>Rel-17 RedCap</w:t>
      </w:r>
    </w:p>
    <w:p w14:paraId="073DEAB7" w14:textId="77777777" w:rsidR="00A46B36" w:rsidRDefault="00354F0D">
      <w:pPr>
        <w:pStyle w:val="aff"/>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f"/>
        <w:numPr>
          <w:ilvl w:val="1"/>
          <w:numId w:val="15"/>
        </w:numPr>
        <w:rPr>
          <w:sz w:val="20"/>
          <w:szCs w:val="21"/>
        </w:rPr>
      </w:pPr>
      <w:r>
        <w:rPr>
          <w:sz w:val="20"/>
          <w:szCs w:val="21"/>
        </w:rPr>
        <w:t>5MHz-BW RedCap</w:t>
      </w:r>
    </w:p>
    <w:p w14:paraId="127B1DB1" w14:textId="77777777" w:rsidR="00A46B36" w:rsidRDefault="00354F0D">
      <w:pPr>
        <w:pStyle w:val="aff"/>
        <w:numPr>
          <w:ilvl w:val="2"/>
          <w:numId w:val="15"/>
        </w:numPr>
        <w:rPr>
          <w:sz w:val="20"/>
          <w:szCs w:val="21"/>
        </w:rPr>
      </w:pPr>
      <w:r>
        <w:rPr>
          <w:rFonts w:eastAsia="Yu Mincho"/>
          <w:sz w:val="20"/>
          <w:szCs w:val="21"/>
        </w:rPr>
        <w:t>1 Rx [5, 14]</w:t>
      </w:r>
    </w:p>
    <w:p w14:paraId="182ED849" w14:textId="77777777" w:rsidR="00A46B36" w:rsidRDefault="00354F0D">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f"/>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aff"/>
        <w:numPr>
          <w:ilvl w:val="1"/>
          <w:numId w:val="15"/>
        </w:numPr>
        <w:rPr>
          <w:sz w:val="20"/>
          <w:szCs w:val="21"/>
        </w:rPr>
      </w:pPr>
      <w:r>
        <w:rPr>
          <w:sz w:val="20"/>
          <w:szCs w:val="21"/>
        </w:rPr>
        <w:t>PBCH [5, 13, 14]</w:t>
      </w:r>
    </w:p>
    <w:p w14:paraId="1A60846A" w14:textId="77777777" w:rsidR="00A46B36" w:rsidRDefault="00354F0D">
      <w:pPr>
        <w:pStyle w:val="aff"/>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aff"/>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aff"/>
        <w:numPr>
          <w:ilvl w:val="1"/>
          <w:numId w:val="15"/>
        </w:numPr>
        <w:rPr>
          <w:sz w:val="20"/>
          <w:szCs w:val="21"/>
        </w:rPr>
      </w:pPr>
      <w:r>
        <w:rPr>
          <w:sz w:val="20"/>
          <w:szCs w:val="21"/>
        </w:rPr>
        <w:t>PRACH [5]</w:t>
      </w:r>
    </w:p>
    <w:p w14:paraId="55A268B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f"/>
        <w:numPr>
          <w:ilvl w:val="1"/>
          <w:numId w:val="15"/>
        </w:numPr>
        <w:rPr>
          <w:sz w:val="20"/>
          <w:szCs w:val="21"/>
        </w:rPr>
      </w:pPr>
      <w:r>
        <w:rPr>
          <w:sz w:val="20"/>
          <w:szCs w:val="21"/>
        </w:rPr>
        <w:t>PDCCH [5, 13, 14, 21]</w:t>
      </w:r>
    </w:p>
    <w:p w14:paraId="0E7D7D51"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aff"/>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f"/>
        <w:numPr>
          <w:ilvl w:val="2"/>
          <w:numId w:val="15"/>
        </w:numPr>
        <w:rPr>
          <w:sz w:val="20"/>
          <w:szCs w:val="21"/>
          <w:lang w:val="en-US"/>
        </w:rPr>
      </w:pPr>
      <w:r>
        <w:rPr>
          <w:sz w:val="20"/>
          <w:szCs w:val="21"/>
          <w:lang w:val="en-US"/>
        </w:rPr>
        <w:lastRenderedPageBreak/>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aff"/>
        <w:numPr>
          <w:ilvl w:val="1"/>
          <w:numId w:val="15"/>
        </w:numPr>
        <w:rPr>
          <w:sz w:val="20"/>
          <w:szCs w:val="21"/>
        </w:rPr>
      </w:pPr>
      <w:r>
        <w:rPr>
          <w:sz w:val="20"/>
          <w:szCs w:val="21"/>
        </w:rPr>
        <w:t>PDSCH [5]</w:t>
      </w:r>
    </w:p>
    <w:p w14:paraId="34CA733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aff"/>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aff"/>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aff"/>
        <w:numPr>
          <w:ilvl w:val="1"/>
          <w:numId w:val="15"/>
        </w:numPr>
        <w:rPr>
          <w:sz w:val="20"/>
          <w:szCs w:val="21"/>
        </w:rPr>
      </w:pPr>
      <w:r>
        <w:rPr>
          <w:rFonts w:eastAsia="Yu Mincho"/>
          <w:sz w:val="20"/>
          <w:szCs w:val="21"/>
        </w:rPr>
        <w:t>SIB1 [13, 14, 21]</w:t>
      </w:r>
    </w:p>
    <w:p w14:paraId="3F592138"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aff"/>
        <w:numPr>
          <w:ilvl w:val="2"/>
          <w:numId w:val="15"/>
        </w:numPr>
        <w:rPr>
          <w:sz w:val="20"/>
          <w:szCs w:val="21"/>
        </w:rPr>
      </w:pPr>
      <w:r>
        <w:rPr>
          <w:sz w:val="20"/>
          <w:szCs w:val="21"/>
        </w:rPr>
        <w:t>a TBS of 1256 bits [14]</w:t>
      </w:r>
    </w:p>
    <w:p w14:paraId="406EA1BB" w14:textId="77777777" w:rsidR="00A46B36" w:rsidRDefault="00354F0D">
      <w:pPr>
        <w:pStyle w:val="aff"/>
        <w:numPr>
          <w:ilvl w:val="1"/>
          <w:numId w:val="15"/>
        </w:numPr>
        <w:rPr>
          <w:sz w:val="20"/>
          <w:szCs w:val="21"/>
        </w:rPr>
      </w:pPr>
      <w:r>
        <w:rPr>
          <w:sz w:val="20"/>
          <w:szCs w:val="21"/>
        </w:rPr>
        <w:t>Msg2 [5, 14]</w:t>
      </w:r>
    </w:p>
    <w:p w14:paraId="6F3F665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aff"/>
        <w:numPr>
          <w:ilvl w:val="2"/>
          <w:numId w:val="15"/>
        </w:numPr>
        <w:rPr>
          <w:sz w:val="20"/>
          <w:szCs w:val="21"/>
        </w:rPr>
      </w:pPr>
      <w:r>
        <w:rPr>
          <w:rFonts w:eastAsia="Yu Mincho"/>
          <w:sz w:val="20"/>
          <w:szCs w:val="21"/>
        </w:rPr>
        <w:t>payload of 72 bits [5, 14]</w:t>
      </w:r>
    </w:p>
    <w:p w14:paraId="6844953C" w14:textId="77777777" w:rsidR="00A46B36" w:rsidRDefault="00354F0D">
      <w:pPr>
        <w:pStyle w:val="aff"/>
        <w:numPr>
          <w:ilvl w:val="1"/>
          <w:numId w:val="15"/>
        </w:numPr>
        <w:rPr>
          <w:sz w:val="20"/>
          <w:szCs w:val="21"/>
        </w:rPr>
      </w:pPr>
      <w:r>
        <w:rPr>
          <w:sz w:val="20"/>
          <w:szCs w:val="21"/>
        </w:rPr>
        <w:t>Msg4 [5, 14]</w:t>
      </w:r>
    </w:p>
    <w:p w14:paraId="2A1E193B"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aff"/>
        <w:numPr>
          <w:ilvl w:val="1"/>
          <w:numId w:val="15"/>
        </w:numPr>
        <w:rPr>
          <w:sz w:val="20"/>
          <w:szCs w:val="21"/>
        </w:rPr>
      </w:pPr>
      <w:r>
        <w:rPr>
          <w:sz w:val="20"/>
          <w:szCs w:val="21"/>
        </w:rPr>
        <w:t>PUCCH [5, 21]</w:t>
      </w:r>
    </w:p>
    <w:p w14:paraId="1A300A4C"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aff"/>
        <w:numPr>
          <w:ilvl w:val="1"/>
          <w:numId w:val="15"/>
        </w:numPr>
        <w:rPr>
          <w:sz w:val="20"/>
          <w:szCs w:val="21"/>
        </w:rPr>
      </w:pPr>
      <w:r>
        <w:rPr>
          <w:sz w:val="20"/>
          <w:szCs w:val="21"/>
        </w:rPr>
        <w:t>PUSCH [5, 21]</w:t>
      </w:r>
    </w:p>
    <w:p w14:paraId="0303D64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aff"/>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aff"/>
        <w:numPr>
          <w:ilvl w:val="1"/>
          <w:numId w:val="15"/>
        </w:numPr>
        <w:rPr>
          <w:sz w:val="20"/>
          <w:szCs w:val="21"/>
        </w:rPr>
      </w:pPr>
      <w:r>
        <w:rPr>
          <w:sz w:val="20"/>
          <w:szCs w:val="21"/>
        </w:rPr>
        <w:t>Msg3 [5]</w:t>
      </w:r>
    </w:p>
    <w:p w14:paraId="4C7D6A9D" w14:textId="77777777" w:rsidR="00A46B36" w:rsidRDefault="00354F0D">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8"/>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w:t>
            </w:r>
            <w:r>
              <w:rPr>
                <w:rFonts w:eastAsiaTheme="minorEastAsia" w:hint="eastAsia"/>
                <w:lang w:val="en-US" w:eastAsia="zh-CN"/>
              </w:rPr>
              <w:lastRenderedPageBreak/>
              <w:t xml:space="preserve">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0484B">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0484B">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0484B">
            <w:pPr>
              <w:jc w:val="left"/>
              <w:rPr>
                <w:rFonts w:eastAsiaTheme="minorEastAsia"/>
                <w:lang w:val="en-US" w:eastAsia="zh-CN"/>
              </w:rPr>
            </w:pPr>
            <w:r>
              <w:rPr>
                <w:rFonts w:eastAsiaTheme="minorEastAsia"/>
                <w:lang w:val="en-US" w:eastAsia="zh-CN"/>
              </w:rPr>
              <w:t>Reuse the evaluation assumption.</w:t>
            </w:r>
          </w:p>
        </w:tc>
      </w:tr>
    </w:tbl>
    <w:p w14:paraId="34168385" w14:textId="77777777" w:rsidR="00A46B36" w:rsidRPr="00DB389C" w:rsidRDefault="00A46B36">
      <w:pPr>
        <w:spacing w:after="100" w:afterAutospacing="1"/>
        <w:rPr>
          <w:lang w:val="en-US"/>
        </w:rPr>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8"/>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f"/>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f"/>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f"/>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f"/>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lastRenderedPageBreak/>
              <w:t>can not</w:t>
            </w:r>
            <w:proofErr w:type="spellEnd"/>
            <w:r>
              <w:rPr>
                <w:rFonts w:eastAsia="宋体"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lastRenderedPageBreak/>
              <w:t>CMCC</w:t>
            </w:r>
          </w:p>
        </w:tc>
        <w:tc>
          <w:tcPr>
            <w:tcW w:w="4106" w:type="pct"/>
          </w:tcPr>
          <w:p w14:paraId="0859BB9F" w14:textId="77777777" w:rsidR="00A46B36" w:rsidRDefault="00354F0D">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757F684C" w14:textId="77777777" w:rsidR="00A46B36" w:rsidRDefault="00354F0D">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aff"/>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aff"/>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hint="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aff"/>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aff"/>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f"/>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aff"/>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aff"/>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RedCap UEs should be evaluated [10(?), 12, 14]</w:t>
      </w:r>
    </w:p>
    <w:p w14:paraId="5725AB95" w14:textId="77777777" w:rsidR="00A46B36" w:rsidRDefault="00354F0D">
      <w:pPr>
        <w:pStyle w:val="aff"/>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aff"/>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aff"/>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0484B">
            <w:pPr>
              <w:jc w:val="left"/>
              <w:rPr>
                <w:rFonts w:eastAsiaTheme="minorEastAsia"/>
                <w:lang w:val="en-US" w:eastAsia="zh-CN"/>
              </w:rPr>
            </w:pPr>
            <w:r>
              <w:rPr>
                <w:rFonts w:eastAsiaTheme="minorEastAsia"/>
                <w:lang w:val="en-US" w:eastAsia="zh-CN"/>
              </w:rPr>
              <w:lastRenderedPageBreak/>
              <w:t>Intel</w:t>
            </w:r>
          </w:p>
        </w:tc>
        <w:tc>
          <w:tcPr>
            <w:tcW w:w="1372" w:type="dxa"/>
          </w:tcPr>
          <w:p w14:paraId="1A5F55F0"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0484B">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0484B">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0484B">
            <w:pPr>
              <w:jc w:val="left"/>
              <w:rPr>
                <w:rFonts w:eastAsiaTheme="minorEastAsia"/>
                <w:lang w:val="en-US" w:eastAsia="zh-CN"/>
              </w:rPr>
            </w:pPr>
            <w:r>
              <w:rPr>
                <w:rFonts w:eastAsiaTheme="minorEastAsia"/>
                <w:lang w:val="en-US" w:eastAsia="zh-CN"/>
              </w:rPr>
              <w:t>No SLS is needed at this moment.</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aff"/>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aff"/>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f"/>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f"/>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aff"/>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aff"/>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f"/>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aff"/>
        <w:numPr>
          <w:ilvl w:val="0"/>
          <w:numId w:val="21"/>
        </w:numPr>
        <w:rPr>
          <w:sz w:val="20"/>
          <w:szCs w:val="20"/>
          <w:lang w:val="en-US"/>
        </w:rPr>
      </w:pPr>
      <w:r>
        <w:rPr>
          <w:sz w:val="20"/>
          <w:szCs w:val="20"/>
          <w:lang w:val="en-US"/>
        </w:rPr>
        <w:t>O2: Latency</w:t>
      </w:r>
    </w:p>
    <w:p w14:paraId="67FC8803" w14:textId="77777777" w:rsidR="00A46B36" w:rsidRDefault="00354F0D">
      <w:pPr>
        <w:pStyle w:val="aff"/>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f"/>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aff"/>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aff"/>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aff"/>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aff"/>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aff"/>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aff"/>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f"/>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w:t>
            </w:r>
            <w:r>
              <w:rPr>
                <w:rFonts w:eastAsiaTheme="minorEastAsia"/>
                <w:lang w:val="en-US" w:eastAsia="zh-CN"/>
              </w:rPr>
              <w:lastRenderedPageBreak/>
              <w:t xml:space="preserve">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0484B">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0484B">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0484B">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0484B">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0484B">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b"/>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 xml:space="preserve">Huawei, </w:t>
            </w:r>
            <w:proofErr w:type="spellStart"/>
            <w:r>
              <w:t>HiSilicon</w:t>
            </w:r>
            <w:proofErr w:type="spellEnd"/>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afb"/>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b"/>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b"/>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lastRenderedPageBreak/>
              <w:t>[10]</w:t>
            </w:r>
          </w:p>
        </w:tc>
        <w:tc>
          <w:tcPr>
            <w:tcW w:w="1456" w:type="dxa"/>
            <w:tcMar>
              <w:top w:w="0" w:type="dxa"/>
              <w:left w:w="70" w:type="dxa"/>
              <w:bottom w:w="0" w:type="dxa"/>
              <w:right w:w="70" w:type="dxa"/>
            </w:tcMar>
          </w:tcPr>
          <w:p w14:paraId="6F2A1931" w14:textId="77777777" w:rsidR="00A46B36" w:rsidRDefault="00354F0D">
            <w:pPr>
              <w:rPr>
                <w:rStyle w:val="afb"/>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b"/>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b"/>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b"/>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afb"/>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b"/>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afb"/>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b"/>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b"/>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b"/>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b"/>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b"/>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b"/>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b"/>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75D5" w14:textId="77777777" w:rsidR="00FA3E7C" w:rsidRDefault="00FA3E7C">
      <w:pPr>
        <w:spacing w:line="240" w:lineRule="auto"/>
      </w:pPr>
      <w:r>
        <w:separator/>
      </w:r>
    </w:p>
  </w:endnote>
  <w:endnote w:type="continuationSeparator" w:id="0">
    <w:p w14:paraId="190712E4" w14:textId="77777777" w:rsidR="00FA3E7C" w:rsidRDefault="00FA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D1BD" w14:textId="77777777" w:rsidR="00FA3E7C" w:rsidRDefault="00FA3E7C">
      <w:pPr>
        <w:spacing w:after="0"/>
      </w:pPr>
      <w:r>
        <w:separator/>
      </w:r>
    </w:p>
  </w:footnote>
  <w:footnote w:type="continuationSeparator" w:id="0">
    <w:p w14:paraId="3B911246" w14:textId="77777777" w:rsidR="00FA3E7C" w:rsidRDefault="00FA3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1506335">
    <w:abstractNumId w:val="3"/>
  </w:num>
  <w:num w:numId="2" w16cid:durableId="1094475186">
    <w:abstractNumId w:val="6"/>
  </w:num>
  <w:num w:numId="3" w16cid:durableId="1081218239">
    <w:abstractNumId w:val="1"/>
  </w:num>
  <w:num w:numId="4" w16cid:durableId="1621640538">
    <w:abstractNumId w:val="0"/>
  </w:num>
  <w:num w:numId="5" w16cid:durableId="2049378634">
    <w:abstractNumId w:val="10"/>
  </w:num>
  <w:num w:numId="6" w16cid:durableId="826213952">
    <w:abstractNumId w:val="12"/>
    <w:lvlOverride w:ilvl="0">
      <w:startOverride w:val="1"/>
    </w:lvlOverride>
  </w:num>
  <w:num w:numId="7" w16cid:durableId="1163207088">
    <w:abstractNumId w:val="13"/>
  </w:num>
  <w:num w:numId="8" w16cid:durableId="910309462">
    <w:abstractNumId w:val="18"/>
  </w:num>
  <w:num w:numId="9" w16cid:durableId="532570324">
    <w:abstractNumId w:val="17"/>
  </w:num>
  <w:num w:numId="10" w16cid:durableId="1285691311">
    <w:abstractNumId w:val="16"/>
  </w:num>
  <w:num w:numId="11" w16cid:durableId="541138405">
    <w:abstractNumId w:val="7"/>
  </w:num>
  <w:num w:numId="12" w16cid:durableId="1414428119">
    <w:abstractNumId w:val="20"/>
  </w:num>
  <w:num w:numId="13" w16cid:durableId="2036153174">
    <w:abstractNumId w:val="2"/>
  </w:num>
  <w:num w:numId="14" w16cid:durableId="1570192116">
    <w:abstractNumId w:val="4"/>
  </w:num>
  <w:num w:numId="15" w16cid:durableId="1319383975">
    <w:abstractNumId w:val="19"/>
  </w:num>
  <w:num w:numId="16" w16cid:durableId="1769345478">
    <w:abstractNumId w:val="11"/>
  </w:num>
  <w:num w:numId="17" w16cid:durableId="106051341">
    <w:abstractNumId w:val="21"/>
  </w:num>
  <w:num w:numId="18" w16cid:durableId="787041890">
    <w:abstractNumId w:val="14"/>
  </w:num>
  <w:num w:numId="19" w16cid:durableId="1748527104">
    <w:abstractNumId w:val="8"/>
  </w:num>
  <w:num w:numId="20" w16cid:durableId="557211075">
    <w:abstractNumId w:val="9"/>
  </w:num>
  <w:num w:numId="21" w16cid:durableId="1234243596">
    <w:abstractNumId w:val="15"/>
  </w:num>
  <w:num w:numId="22" w16cid:durableId="1372000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640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5070</Words>
  <Characters>28903</Characters>
  <Application>Microsoft Office Word</Application>
  <DocSecurity>0</DocSecurity>
  <Lines>240</Lines>
  <Paragraphs>67</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3</cp:revision>
  <dcterms:created xsi:type="dcterms:W3CDTF">2022-05-11T14:15:00Z</dcterms:created>
  <dcterms:modified xsi:type="dcterms:W3CDTF">2022-05-11T15:17:00Z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