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05ABA5AF"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Per RAN#92-e conclusion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nter-cell mobility) is assumed. Therefore, triggering of inter-cell mobility is no longer relevant</w:t>
            </w:r>
            <w:r w:rsidR="00FE197C">
              <w:rPr>
                <w:rFonts w:eastAsia="Batang"/>
                <w:sz w:val="20"/>
                <w:szCs w:val="20"/>
                <w:lang w:eastAsia="en-US"/>
              </w:rPr>
              <w:t xml:space="preserve"> irrespective of the so-called Scenario (1 or 2)</w:t>
            </w:r>
            <w:r w:rsidR="00DF649D">
              <w:rPr>
                <w:rFonts w:eastAsia="Batang"/>
                <w:sz w:val="20"/>
                <w:szCs w:val="20"/>
                <w:lang w:eastAsia="en-US"/>
              </w:rPr>
              <w:t xml:space="preserve">.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7777777" w:rsidR="008740AA" w:rsidRDefault="00DF649D" w:rsidP="006973DB">
            <w:pPr>
              <w:snapToGrid w:val="0"/>
              <w:spacing w:after="60"/>
              <w:jc w:val="both"/>
              <w:rPr>
                <w:rFonts w:eastAsia="Batang"/>
                <w:sz w:val="20"/>
                <w:szCs w:val="20"/>
                <w:lang w:eastAsia="en-US"/>
              </w:rPr>
            </w:pPr>
            <w:r>
              <w:rPr>
                <w:rFonts w:eastAsia="Batang"/>
                <w:sz w:val="20"/>
                <w:szCs w:val="20"/>
                <w:lang w:eastAsia="en-US"/>
              </w:rPr>
              <w:t xml:space="preserve">However, since a UE can receive from or transmit to a non-serving cell, the UE performs measurement and reporting with respect to the non-serving cell. In this respect,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bookmarkStart w:id="2" w:name="_GoBack"/>
            <w:bookmarkEnd w:id="2"/>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7777777" w:rsidR="00D14923" w:rsidRDefault="00D14923" w:rsidP="00D9596D">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A5EF" w14:textId="77777777" w:rsidR="00D14923" w:rsidRDefault="00D14923" w:rsidP="0037622E">
            <w:pPr>
              <w:snapToGrid w:val="0"/>
              <w:rPr>
                <w:rFonts w:eastAsia="DengXian"/>
                <w:b/>
                <w:color w:val="3333FF"/>
                <w:sz w:val="18"/>
                <w:szCs w:val="18"/>
                <w:lang w:eastAsia="zh-CN"/>
              </w:rPr>
            </w:pPr>
          </w:p>
        </w:tc>
      </w:tr>
    </w:tbl>
    <w:p w14:paraId="61828B47" w14:textId="77777777" w:rsidR="00D67CA5" w:rsidRPr="00842BB2" w:rsidRDefault="00D67CA5" w:rsidP="00C917EE">
      <w:pPr>
        <w:snapToGrid w:val="0"/>
        <w:jc w:val="both"/>
        <w:rPr>
          <w:rFonts w:eastAsia="Batang"/>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lastRenderedPageBreak/>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0A2B8392"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633EDC">
              <w:rPr>
                <w:rFonts w:eastAsia="Batang"/>
                <w:sz w:val="20"/>
                <w:szCs w:val="20"/>
                <w:lang w:val="en-GB" w:eastAsia="en-US"/>
              </w:rPr>
              <w:t>As far as RAN1 is concerned, a</w:t>
            </w:r>
            <w:r w:rsidR="00B15300">
              <w:rPr>
                <w:rFonts w:eastAsia="Batang"/>
                <w:sz w:val="20"/>
                <w:szCs w:val="20"/>
                <w:lang w:val="en-GB" w:eastAsia="en-US"/>
              </w:rPr>
              <w:t xml:space="preserve"> “non-serving cell” is a cell with a physical cell ID (PCI) different from the PCI associated with the current serving cell</w:t>
            </w:r>
            <w:r w:rsidR="00152E53">
              <w:rPr>
                <w:rFonts w:eastAsia="Batang"/>
                <w:sz w:val="20"/>
                <w:szCs w:val="20"/>
                <w:lang w:val="en-GB" w:eastAsia="en-US"/>
              </w:rPr>
              <w:t>(s)</w:t>
            </w:r>
            <w:r w:rsidR="00A57249">
              <w:rPr>
                <w:rFonts w:eastAsia="Batang"/>
                <w:sz w:val="20"/>
                <w:szCs w:val="20"/>
                <w:lang w:val="en-GB" w:eastAsia="en-US"/>
              </w:rPr>
              <w:t xml:space="preserve"> </w:t>
            </w:r>
            <w:r w:rsidR="00A57249" w:rsidRPr="003259C9">
              <w:rPr>
                <w:iCs/>
                <w:color w:val="000000" w:themeColor="text1"/>
                <w:sz w:val="20"/>
                <w:szCs w:val="20"/>
              </w:rPr>
              <w:t>for which a link can be established for UE-specific chan</w:t>
            </w:r>
            <w:r w:rsidR="00A57249">
              <w:rPr>
                <w:iCs/>
                <w:color w:val="000000" w:themeColor="text1"/>
                <w:sz w:val="20"/>
                <w:szCs w:val="20"/>
              </w:rPr>
              <w:t>nel reception and transmission</w:t>
            </w:r>
            <w:r w:rsidR="00B15300">
              <w:rPr>
                <w:rFonts w:eastAsia="Batang"/>
                <w:sz w:val="20"/>
                <w:szCs w:val="20"/>
                <w:lang w:val="en-GB" w:eastAsia="en-US"/>
              </w:rPr>
              <w:t>.</w:t>
            </w:r>
          </w:p>
          <w:p w14:paraId="79C83D16" w14:textId="58C6C83F"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B15300">
              <w:rPr>
                <w:rFonts w:eastAsia="Batang"/>
                <w:sz w:val="20"/>
                <w:szCs w:val="20"/>
                <w:lang w:eastAsia="en-US"/>
              </w:rPr>
              <w:t>Per RAN#92-e conclusion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 Regardless, inter-cell mobility falls under RAN2 expertise and, even if it were relevant, should be answered by RAN2.</w:t>
            </w:r>
          </w:p>
          <w:p w14:paraId="3B27A206" w14:textId="0421DA05"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6019EB">
              <w:rPr>
                <w:rFonts w:eastAsia="Batang"/>
                <w:sz w:val="20"/>
                <w:szCs w:val="20"/>
                <w:lang w:eastAsia="en-US"/>
              </w:rPr>
              <w:t>Per RAN#92-e conclusion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77777777" w:rsidR="00D14923" w:rsidRDefault="00D14923" w:rsidP="00D9596D">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3FBFC" w14:textId="77777777" w:rsidR="00D14923" w:rsidRDefault="00D14923" w:rsidP="00D9596D">
            <w:pPr>
              <w:snapToGrid w:val="0"/>
              <w:rPr>
                <w:rFonts w:eastAsia="DengXian"/>
                <w:b/>
                <w:color w:val="3333FF"/>
                <w:sz w:val="18"/>
                <w:szCs w:val="18"/>
                <w:lang w:eastAsia="zh-CN"/>
              </w:rPr>
            </w:pPr>
          </w:p>
        </w:tc>
      </w:tr>
    </w:tbl>
    <w:p w14:paraId="6F9D63B2" w14:textId="77777777" w:rsidR="00A521BD" w:rsidRPr="00842BB2" w:rsidRDefault="00A521BD"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3" w:name="_Hlk72938458"/>
            <w:r w:rsidRPr="001F6816">
              <w:rPr>
                <w:rFonts w:ascii="Arial" w:hAnsi="Arial" w:cs="Arial"/>
                <w:sz w:val="20"/>
                <w:szCs w:val="20"/>
              </w:rPr>
              <w:t xml:space="preserve">simultaneous reception and transmission capabilities under CA scenarios. </w:t>
            </w:r>
          </w:p>
          <w:bookmarkEnd w:id="3"/>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B01C5A6"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BB0347">
              <w:rPr>
                <w:rFonts w:eastAsia="Batang"/>
                <w:sz w:val="20"/>
                <w:szCs w:val="20"/>
                <w:lang w:val="en-GB" w:eastAsia="en-US"/>
              </w:rPr>
              <w:t>J</w:t>
            </w:r>
            <w:r w:rsidR="00151F4E">
              <w:rPr>
                <w:rFonts w:eastAsia="Batang"/>
                <w:sz w:val="20"/>
                <w:szCs w:val="20"/>
                <w:lang w:val="en-GB" w:eastAsia="en-US"/>
              </w:rPr>
              <w:t xml:space="preserve">ust as the normal CA operation, so </w:t>
            </w:r>
            <w:r w:rsidR="00633EDC">
              <w:rPr>
                <w:rFonts w:eastAsia="Batang"/>
                <w:sz w:val="20"/>
                <w:szCs w:val="20"/>
                <w:lang w:val="en-GB" w:eastAsia="en-US"/>
              </w:rPr>
              <w:t xml:space="preserve">for intra-band scenario, </w:t>
            </w:r>
            <w:r w:rsidR="00633EDC" w:rsidRPr="00633EDC">
              <w:rPr>
                <w:sz w:val="20"/>
                <w:szCs w:val="22"/>
                <w:lang w:eastAsia="zh-CN"/>
              </w:rPr>
              <w:t xml:space="preserve">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w:t>
            </w:r>
            <w:r w:rsidR="00633EDC" w:rsidRPr="00633EDC">
              <w:rPr>
                <w:sz w:val="20"/>
                <w:szCs w:val="22"/>
                <w:lang w:eastAsia="zh-CN"/>
              </w:rPr>
              <w:lastRenderedPageBreak/>
              <w:t xml:space="preserve">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 xml:space="preserve">belong to the same frequency band; in the inter-band CA, 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belong to different frequency bands</w:t>
            </w:r>
            <w:r w:rsidR="008A3E2F">
              <w:rPr>
                <w:sz w:val="20"/>
                <w:szCs w:val="22"/>
                <w:lang w:eastAsia="zh-CN"/>
              </w:rPr>
              <w:t>.</w:t>
            </w:r>
          </w:p>
          <w:p w14:paraId="6863F757" w14:textId="7E961B86" w:rsidR="00A57249" w:rsidRDefault="00A57249" w:rsidP="001F6816">
            <w:pPr>
              <w:snapToGrid w:val="0"/>
              <w:spacing w:after="60"/>
              <w:jc w:val="both"/>
              <w:rPr>
                <w:sz w:val="20"/>
                <w:szCs w:val="22"/>
                <w:lang w:eastAsia="zh-CN"/>
              </w:rPr>
            </w:pPr>
            <w:r>
              <w:rPr>
                <w:sz w:val="20"/>
                <w:szCs w:val="22"/>
                <w:lang w:eastAsia="zh-CN"/>
              </w:rPr>
              <w:t xml:space="preserve">However, </w:t>
            </w:r>
            <w:r>
              <w:rPr>
                <w:rFonts w:eastAsia="Batang"/>
                <w:sz w:val="20"/>
                <w:szCs w:val="20"/>
                <w:lang w:eastAsia="en-US"/>
              </w:rPr>
              <w:t xml:space="preserve">per RAN#92-e conclusion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3DAC667B"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034809">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2E0840BB"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175D12">
              <w:rPr>
                <w:rFonts w:eastAsia="Batang"/>
                <w:sz w:val="20"/>
                <w:szCs w:val="20"/>
                <w:lang w:val="en-GB" w:eastAsia="en-US"/>
              </w:rPr>
              <w:t xml:space="preserve">As far as RAN1 is concerned, a “non-serving cell” is a cell with a physical cell ID (PCI) different from the PCI associated with the current serving cell </w:t>
            </w:r>
            <w:r w:rsidR="00175D12" w:rsidRPr="003259C9">
              <w:rPr>
                <w:iCs/>
                <w:color w:val="000000" w:themeColor="text1"/>
                <w:sz w:val="20"/>
                <w:szCs w:val="20"/>
              </w:rPr>
              <w:t>for which a link can be established for UE-specific chan</w:t>
            </w:r>
            <w:r w:rsidR="00175D12">
              <w:rPr>
                <w:iCs/>
                <w:color w:val="000000" w:themeColor="text1"/>
                <w:sz w:val="20"/>
                <w:szCs w:val="20"/>
              </w:rPr>
              <w:t>nel reception and transmission</w:t>
            </w:r>
            <w:r w:rsidR="00175D12">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2F88C80B"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D6F176D" w14:textId="65455402"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77777777" w:rsidR="00D14923" w:rsidRDefault="00D14923" w:rsidP="00D9596D">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77777777" w:rsidR="00D14923" w:rsidRDefault="00D14923" w:rsidP="00D9596D">
            <w:pPr>
              <w:snapToGrid w:val="0"/>
              <w:rPr>
                <w:rFonts w:eastAsia="DengXian"/>
                <w:b/>
                <w:color w:val="3333FF"/>
                <w:sz w:val="18"/>
                <w:szCs w:val="18"/>
                <w:lang w:eastAsia="zh-CN"/>
              </w:rPr>
            </w:pPr>
          </w:p>
        </w:tc>
      </w:tr>
    </w:tbl>
    <w:p w14:paraId="24D663B9" w14:textId="77777777"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31107" w14:textId="77777777" w:rsidR="00715529" w:rsidRDefault="00715529">
      <w:r>
        <w:separator/>
      </w:r>
    </w:p>
  </w:endnote>
  <w:endnote w:type="continuationSeparator" w:id="0">
    <w:p w14:paraId="4CF420F6" w14:textId="77777777" w:rsidR="00715529" w:rsidRDefault="0071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0C73" w14:textId="77777777" w:rsidR="00715529" w:rsidRDefault="00715529">
      <w:r>
        <w:rPr>
          <w:color w:val="000000"/>
        </w:rPr>
        <w:separator/>
      </w:r>
    </w:p>
  </w:footnote>
  <w:footnote w:type="continuationSeparator" w:id="0">
    <w:p w14:paraId="343617F8" w14:textId="77777777" w:rsidR="00715529" w:rsidRDefault="0071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3"/>
  </w:num>
  <w:num w:numId="2">
    <w:abstractNumId w:val="11"/>
  </w:num>
  <w:num w:numId="3">
    <w:abstractNumId w:val="7"/>
  </w:num>
  <w:num w:numId="4">
    <w:abstractNumId w:val="26"/>
  </w:num>
  <w:num w:numId="5">
    <w:abstractNumId w:val="52"/>
  </w:num>
  <w:num w:numId="6">
    <w:abstractNumId w:val="12"/>
  </w:num>
  <w:num w:numId="7">
    <w:abstractNumId w:val="43"/>
  </w:num>
  <w:num w:numId="8">
    <w:abstractNumId w:val="10"/>
  </w:num>
  <w:num w:numId="9">
    <w:abstractNumId w:val="25"/>
  </w:num>
  <w:num w:numId="10">
    <w:abstractNumId w:val="37"/>
  </w:num>
  <w:num w:numId="11">
    <w:abstractNumId w:val="14"/>
  </w:num>
  <w:num w:numId="12">
    <w:abstractNumId w:val="24"/>
  </w:num>
  <w:num w:numId="13">
    <w:abstractNumId w:val="3"/>
  </w:num>
  <w:num w:numId="14">
    <w:abstractNumId w:val="45"/>
  </w:num>
  <w:num w:numId="15">
    <w:abstractNumId w:val="32"/>
  </w:num>
  <w:num w:numId="16">
    <w:abstractNumId w:val="57"/>
  </w:num>
  <w:num w:numId="17">
    <w:abstractNumId w:val="30"/>
  </w:num>
  <w:num w:numId="18">
    <w:abstractNumId w:val="29"/>
  </w:num>
  <w:num w:numId="19">
    <w:abstractNumId w:val="46"/>
  </w:num>
  <w:num w:numId="20">
    <w:abstractNumId w:val="56"/>
  </w:num>
  <w:num w:numId="21">
    <w:abstractNumId w:val="48"/>
  </w:num>
  <w:num w:numId="22">
    <w:abstractNumId w:val="68"/>
  </w:num>
  <w:num w:numId="23">
    <w:abstractNumId w:val="33"/>
  </w:num>
  <w:num w:numId="24">
    <w:abstractNumId w:val="8"/>
  </w:num>
  <w:num w:numId="25">
    <w:abstractNumId w:val="9"/>
  </w:num>
  <w:num w:numId="26">
    <w:abstractNumId w:val="1"/>
  </w:num>
  <w:num w:numId="27">
    <w:abstractNumId w:val="4"/>
  </w:num>
  <w:num w:numId="28">
    <w:abstractNumId w:val="53"/>
  </w:num>
  <w:num w:numId="29">
    <w:abstractNumId w:val="22"/>
  </w:num>
  <w:num w:numId="30">
    <w:abstractNumId w:val="6"/>
  </w:num>
  <w:num w:numId="31">
    <w:abstractNumId w:val="16"/>
  </w:num>
  <w:num w:numId="32">
    <w:abstractNumId w:val="36"/>
  </w:num>
  <w:num w:numId="33">
    <w:abstractNumId w:val="59"/>
  </w:num>
  <w:num w:numId="34">
    <w:abstractNumId w:val="65"/>
  </w:num>
  <w:num w:numId="35">
    <w:abstractNumId w:val="47"/>
  </w:num>
  <w:num w:numId="36">
    <w:abstractNumId w:val="40"/>
  </w:num>
  <w:num w:numId="37">
    <w:abstractNumId w:val="27"/>
  </w:num>
  <w:num w:numId="38">
    <w:abstractNumId w:val="51"/>
  </w:num>
  <w:num w:numId="39">
    <w:abstractNumId w:val="5"/>
  </w:num>
  <w:num w:numId="40">
    <w:abstractNumId w:val="13"/>
  </w:num>
  <w:num w:numId="41">
    <w:abstractNumId w:val="54"/>
  </w:num>
  <w:num w:numId="42">
    <w:abstractNumId w:val="20"/>
  </w:num>
  <w:num w:numId="43">
    <w:abstractNumId w:val="62"/>
  </w:num>
  <w:num w:numId="44">
    <w:abstractNumId w:val="18"/>
  </w:num>
  <w:num w:numId="45">
    <w:abstractNumId w:val="60"/>
  </w:num>
  <w:num w:numId="46">
    <w:abstractNumId w:val="42"/>
  </w:num>
  <w:num w:numId="47">
    <w:abstractNumId w:val="38"/>
  </w:num>
  <w:num w:numId="48">
    <w:abstractNumId w:val="61"/>
  </w:num>
  <w:num w:numId="49">
    <w:abstractNumId w:val="0"/>
  </w:num>
  <w:num w:numId="50">
    <w:abstractNumId w:val="23"/>
  </w:num>
  <w:num w:numId="51">
    <w:abstractNumId w:val="31"/>
  </w:num>
  <w:num w:numId="52">
    <w:abstractNumId w:val="34"/>
  </w:num>
  <w:num w:numId="53">
    <w:abstractNumId w:val="44"/>
  </w:num>
  <w:num w:numId="54">
    <w:abstractNumId w:val="21"/>
  </w:num>
  <w:num w:numId="55">
    <w:abstractNumId w:val="64"/>
  </w:num>
  <w:num w:numId="56">
    <w:abstractNumId w:val="15"/>
  </w:num>
  <w:num w:numId="57">
    <w:abstractNumId w:val="2"/>
  </w:num>
  <w:num w:numId="58">
    <w:abstractNumId w:val="55"/>
  </w:num>
  <w:num w:numId="59">
    <w:abstractNumId w:val="66"/>
  </w:num>
  <w:num w:numId="60">
    <w:abstractNumId w:val="19"/>
  </w:num>
  <w:num w:numId="61">
    <w:abstractNumId w:val="35"/>
  </w:num>
  <w:num w:numId="62">
    <w:abstractNumId w:val="58"/>
  </w:num>
  <w:num w:numId="63">
    <w:abstractNumId w:val="50"/>
  </w:num>
  <w:num w:numId="64">
    <w:abstractNumId w:val="28"/>
  </w:num>
  <w:num w:numId="65">
    <w:abstractNumId w:val="41"/>
  </w:num>
  <w:num w:numId="66">
    <w:abstractNumId w:val="17"/>
  </w:num>
  <w:num w:numId="67">
    <w:abstractNumId w:val="39"/>
  </w:num>
  <w:num w:numId="68">
    <w:abstractNumId w:val="67"/>
  </w:num>
  <w:num w:numId="69">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7788-6CD5-40F2-AA61-923F7B2F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1574</Words>
  <Characters>8978</Characters>
  <Application>Microsoft Office Word</Application>
  <DocSecurity>0</DocSecurity>
  <Lines>74</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47</cp:revision>
  <dcterms:created xsi:type="dcterms:W3CDTF">2021-08-16T08:15:00Z</dcterms:created>
  <dcterms:modified xsi:type="dcterms:W3CDTF">2021-08-17T21:02:00Z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