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26CBE" w14:textId="59BBB1BB" w:rsidR="00EC2AB3" w:rsidRDefault="007F7F24" w:rsidP="00891CE6">
      <w:pPr>
        <w:pStyle w:val="Corpsdetexte"/>
      </w:pPr>
      <w:bookmarkStart w:id="0" w:name="OLE_LINK1"/>
      <w:bookmarkStart w:id="1" w:name="OLE_LINK2"/>
      <w:r>
        <w:t xml:space="preserve">3GPP TSG RAN WG1 </w:t>
      </w:r>
      <w:r>
        <w:rPr>
          <w:rFonts w:hint="eastAsia"/>
        </w:rPr>
        <w:t>#</w:t>
      </w:r>
      <w:r>
        <w:t>10</w:t>
      </w:r>
      <w:r w:rsidR="00234035">
        <w:t>5</w:t>
      </w:r>
      <w:r w:rsidR="00CD7F02">
        <w:t xml:space="preserve">e  </w:t>
      </w:r>
      <w:r w:rsidR="000A50D3">
        <w:t xml:space="preserve">                                                                                                </w:t>
      </w:r>
      <w:r w:rsidR="00D425F2">
        <w:t>R1-</w:t>
      </w:r>
      <w:r>
        <w:t>2</w:t>
      </w:r>
      <w:r w:rsidR="00CD7F02">
        <w:t>1</w:t>
      </w:r>
      <w:r w:rsidR="000A2EEC">
        <w:t>0</w:t>
      </w:r>
      <w:r w:rsidR="00B32579">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Paragraphedeliste"/>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Paragraphedeliste"/>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Paragraphedeliste"/>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Paragraphedeliste"/>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Paragraphedeliste"/>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Paragraphedeliste"/>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Paragraphedeliste"/>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Paragraphedeliste"/>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Paragraphedeliste"/>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Paragraphedeliste"/>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Paragraphedeliste"/>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Paragraphedeliste"/>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Paragraphedeliste"/>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Paragraphedeliste"/>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Paragraphedeliste"/>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Paragraphedeliste"/>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Paragraphedeliste"/>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Paragraphedeliste"/>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Paragraphedeliste"/>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Paragraphedeliste"/>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Paragraphedeliste"/>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Paragraphedeliste"/>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Paragraphedeliste"/>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Paragraphedeliste"/>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8405A4">
      <w:pPr>
        <w:pStyle w:val="Paragraphedeliste"/>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Grilledutableau"/>
        <w:tblW w:w="5000" w:type="pct"/>
        <w:jc w:val="center"/>
        <w:tblLook w:val="04A0" w:firstRow="1" w:lastRow="0" w:firstColumn="1" w:lastColumn="0" w:noHBand="0" w:noVBand="1"/>
      </w:tblPr>
      <w:tblGrid>
        <w:gridCol w:w="1084"/>
        <w:gridCol w:w="1230"/>
        <w:gridCol w:w="2029"/>
        <w:gridCol w:w="2173"/>
        <w:gridCol w:w="1884"/>
        <w:gridCol w:w="1986"/>
      </w:tblGrid>
      <w:tr w:rsidR="00EC2B26" w14:paraId="60CC9398" w14:textId="68F7C0AF" w:rsidTr="00CF7777">
        <w:trPr>
          <w:trHeight w:val="522"/>
          <w:jc w:val="center"/>
        </w:trPr>
        <w:tc>
          <w:tcPr>
            <w:tcW w:w="1114" w:type="pct"/>
            <w:gridSpan w:val="2"/>
          </w:tcPr>
          <w:p w14:paraId="3AD42BFB" w14:textId="04F5BB5B"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A8708B2"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p>
        </w:tc>
        <w:tc>
          <w:tcPr>
            <w:tcW w:w="1046" w:type="pct"/>
          </w:tcPr>
          <w:p w14:paraId="0D4BC5C5" w14:textId="293858CF" w:rsidR="00EC2B26" w:rsidRDefault="007707A2" w:rsidP="00AD264E">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7341E754" w:rsidR="00EC2B26" w:rsidRDefault="00FD6140" w:rsidP="00AD264E">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p>
        </w:tc>
        <w:tc>
          <w:tcPr>
            <w:tcW w:w="956" w:type="pct"/>
          </w:tcPr>
          <w:p w14:paraId="49A2F495" w14:textId="4ED2296F" w:rsidR="00EC2B26" w:rsidRDefault="004C7BD4" w:rsidP="00AD264E">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Marquedecommentaire"/>
                <w:rFonts w:ascii="Times New Roman" w:hAnsi="Times New Roman"/>
              </w:rPr>
              <w:commentReference w:id="2"/>
            </w:r>
            <w:r w:rsidR="00A9417A">
              <w:rPr>
                <w:iCs/>
                <w:lang w:eastAsia="zh-CN"/>
              </w:rPr>
              <w:t>, CMCC</w:t>
            </w:r>
            <w:r w:rsidR="00AD264E">
              <w:rPr>
                <w:iCs/>
                <w:lang w:eastAsia="zh-CN"/>
              </w:rPr>
              <w:t>, Thales</w:t>
            </w:r>
          </w:p>
        </w:tc>
      </w:tr>
      <w:tr w:rsidR="00CF7777" w14:paraId="012DC7A2" w14:textId="0B8DD066" w:rsidTr="00CF7777">
        <w:trPr>
          <w:trHeight w:val="532"/>
          <w:jc w:val="center"/>
        </w:trPr>
        <w:tc>
          <w:tcPr>
            <w:tcW w:w="522" w:type="pct"/>
            <w:vMerge/>
          </w:tcPr>
          <w:p w14:paraId="2A9E4B2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32D6A6E3"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p>
        </w:tc>
        <w:tc>
          <w:tcPr>
            <w:tcW w:w="1046" w:type="pct"/>
          </w:tcPr>
          <w:p w14:paraId="1C5C1C0E" w14:textId="059D9C25" w:rsidR="00EC2B26" w:rsidRDefault="007707A2"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4C82F7A"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p>
        </w:tc>
      </w:tr>
      <w:tr w:rsidR="00CF7777" w14:paraId="4077F17A" w14:textId="1073D0E4" w:rsidTr="00CF7777">
        <w:trPr>
          <w:trHeight w:val="532"/>
          <w:jc w:val="center"/>
        </w:trPr>
        <w:tc>
          <w:tcPr>
            <w:tcW w:w="522" w:type="pct"/>
            <w:vMerge/>
          </w:tcPr>
          <w:p w14:paraId="545050C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56" w:type="pct"/>
          </w:tcPr>
          <w:p w14:paraId="46218130" w14:textId="6F8C5BD7"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lastRenderedPageBreak/>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Marquedecommentaire"/>
                <w:rFonts w:ascii="Times New Roman" w:hAnsi="Times New Roman"/>
              </w:rPr>
              <w:commentReference w:id="3"/>
            </w:r>
            <w:r w:rsidR="00AD264E">
              <w:rPr>
                <w:iCs/>
                <w:lang w:eastAsia="zh-CN"/>
              </w:rPr>
              <w:t>, Thales</w:t>
            </w:r>
          </w:p>
        </w:tc>
      </w:tr>
      <w:tr w:rsidR="00CF7777" w14:paraId="49671F37" w14:textId="0E65D76C" w:rsidTr="00CF7777">
        <w:trPr>
          <w:trHeight w:val="522"/>
          <w:jc w:val="center"/>
        </w:trPr>
        <w:tc>
          <w:tcPr>
            <w:tcW w:w="522" w:type="pct"/>
            <w:vMerge w:val="restart"/>
          </w:tcPr>
          <w:p w14:paraId="5477B501" w14:textId="0BAEEA38"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lastRenderedPageBreak/>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2AE68E81"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
        </w:tc>
        <w:tc>
          <w:tcPr>
            <w:tcW w:w="956" w:type="pct"/>
          </w:tcPr>
          <w:p w14:paraId="7405FA8F"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688ABF67"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
        </w:tc>
        <w:tc>
          <w:tcPr>
            <w:tcW w:w="956" w:type="pct"/>
          </w:tcPr>
          <w:p w14:paraId="1C14BF5E"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46057DB1" w14:textId="14EDA3C0"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p>
        </w:tc>
        <w:tc>
          <w:tcPr>
            <w:tcW w:w="956" w:type="pct"/>
          </w:tcPr>
          <w:p w14:paraId="4DA954C9"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49977AB0"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4"/>
            <w:r w:rsidR="004C7BD4">
              <w:rPr>
                <w:iCs/>
                <w:lang w:eastAsia="zh-CN"/>
              </w:rPr>
              <w:t>Nokia</w:t>
            </w:r>
            <w:commentRangeEnd w:id="4"/>
            <w:r w:rsidR="004C7BD4">
              <w:rPr>
                <w:rStyle w:val="Marquedecommentaire"/>
                <w:rFonts w:ascii="Times New Roman" w:hAnsi="Times New Roman"/>
              </w:rPr>
              <w:commentReference w:id="4"/>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p>
        </w:tc>
        <w:tc>
          <w:tcPr>
            <w:tcW w:w="1046" w:type="pct"/>
          </w:tcPr>
          <w:p w14:paraId="04352599" w14:textId="76AC431C"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p>
        </w:tc>
        <w:tc>
          <w:tcPr>
            <w:tcW w:w="907" w:type="pct"/>
          </w:tcPr>
          <w:p w14:paraId="1CAB0B12" w14:textId="2B849D45" w:rsidR="00EC2B26" w:rsidRDefault="0039498E" w:rsidP="00AD264E">
            <w:pPr>
              <w:overflowPunct/>
              <w:autoSpaceDE/>
              <w:autoSpaceDN/>
              <w:adjustRightInd/>
              <w:spacing w:beforeLines="50" w:afterLines="50" w:after="120"/>
              <w:jc w:val="center"/>
              <w:textAlignment w:val="auto"/>
              <w:rPr>
                <w:iCs/>
                <w:lang w:eastAsia="zh-CN"/>
              </w:rPr>
            </w:pPr>
            <w:commentRangeStart w:id="5"/>
            <w:r>
              <w:rPr>
                <w:iCs/>
                <w:lang w:eastAsia="zh-CN"/>
              </w:rPr>
              <w:t xml:space="preserve">APT </w:t>
            </w:r>
            <w:commentRangeEnd w:id="5"/>
            <w:r>
              <w:rPr>
                <w:rStyle w:val="Marquedecommentaire"/>
                <w:rFonts w:ascii="Times New Roman" w:hAnsi="Times New Roman"/>
              </w:rPr>
              <w:commentReference w:id="5"/>
            </w:r>
            <w:r w:rsidR="00C6251F">
              <w:rPr>
                <w:iCs/>
                <w:lang w:eastAsia="zh-CN"/>
              </w:rPr>
              <w:t>, OPPO</w:t>
            </w:r>
            <w:r w:rsidR="008E16E2">
              <w:rPr>
                <w:iCs/>
                <w:lang w:eastAsia="zh-CN"/>
              </w:rPr>
              <w:t>, Samsung</w:t>
            </w:r>
            <w:r w:rsidR="007707A2">
              <w:rPr>
                <w:iCs/>
                <w:lang w:eastAsia="zh-CN"/>
              </w:rPr>
              <w:t xml:space="preserve">, Sony (not feasible to </w:t>
            </w:r>
            <w:proofErr w:type="spellStart"/>
            <w:r w:rsidR="007707A2">
              <w:rPr>
                <w:iCs/>
                <w:lang w:eastAsia="zh-CN"/>
              </w:rPr>
              <w:t>fallback</w:t>
            </w:r>
            <w:proofErr w:type="spellEnd"/>
            <w:r w:rsidR="007707A2">
              <w:rPr>
                <w:iCs/>
                <w:lang w:eastAsia="zh-CN"/>
              </w:rPr>
              <w:t xml:space="preserve"> DCI)</w:t>
            </w:r>
            <w:r w:rsidR="003F4EF3">
              <w:rPr>
                <w:iCs/>
                <w:lang w:eastAsia="zh-CN"/>
              </w:rPr>
              <w:t>, LG</w:t>
            </w:r>
          </w:p>
        </w:tc>
        <w:tc>
          <w:tcPr>
            <w:tcW w:w="956" w:type="pct"/>
          </w:tcPr>
          <w:p w14:paraId="6ACD7856" w14:textId="777777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xml:space="preserve">, Sony (not feasible to </w:t>
            </w:r>
            <w:proofErr w:type="spellStart"/>
            <w:r w:rsidR="007707A2">
              <w:rPr>
                <w:iCs/>
                <w:lang w:eastAsia="zh-CN"/>
              </w:rPr>
              <w:t>fallback</w:t>
            </w:r>
            <w:proofErr w:type="spellEnd"/>
            <w:r w:rsidR="007707A2">
              <w:rPr>
                <w:iCs/>
                <w:lang w:eastAsia="zh-CN"/>
              </w:rPr>
              <w:t xml:space="preserve"> DCI)</w:t>
            </w:r>
          </w:p>
          <w:p w14:paraId="04B32889" w14:textId="77CFB25D" w:rsidR="0073545C" w:rsidRDefault="0073545C" w:rsidP="00AD264E">
            <w:pPr>
              <w:overflowPunct/>
              <w:autoSpaceDE/>
              <w:autoSpaceDN/>
              <w:adjustRightInd/>
              <w:spacing w:beforeLines="50" w:afterLines="50" w:after="120"/>
              <w:jc w:val="left"/>
              <w:textAlignment w:val="auto"/>
              <w:rPr>
                <w:iCs/>
                <w:lang w:eastAsia="zh-CN"/>
              </w:rPr>
            </w:pPr>
            <w:r>
              <w:rPr>
                <w:iCs/>
                <w:lang w:eastAsia="zh-CN"/>
              </w:rPr>
              <w:t xml:space="preserve">ZTE(DCI 0_0/1_0/0_1/1_1) should be kept fixed. </w:t>
            </w:r>
          </w:p>
        </w:tc>
      </w:tr>
    </w:tbl>
    <w:p w14:paraId="196EEE24" w14:textId="4A892E31" w:rsidR="00CF0639" w:rsidRDefault="00576067" w:rsidP="00CF0639">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lastRenderedPageBreak/>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r w:rsidR="004B33E4" w:rsidRPr="00D258C1">
        <w:rPr>
          <w:rFonts w:eastAsiaTheme="minorEastAsia"/>
          <w:lang w:eastAsia="zh-CN"/>
        </w:rPr>
        <w:t>:</w:t>
      </w:r>
    </w:p>
    <w:p w14:paraId="066CE6A6" w14:textId="0DAEEEAE" w:rsidR="00D17DA3" w:rsidRDefault="00F545C5" w:rsidP="00D258C1">
      <w:pPr>
        <w:pStyle w:val="Paragraphedeliste"/>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Paragraphedeliste"/>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Paragraphedeliste"/>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Paragraphedeliste"/>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Paragraphedeliste"/>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Paragraphedeliste"/>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Paragraphedeliste"/>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Paragraphedeliste"/>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Paragraphedeliste"/>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D258C1">
      <w:pPr>
        <w:pStyle w:val="Paragraphedeliste"/>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Paragraphedeliste"/>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Paragraphedeliste"/>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Paragraphedeliste"/>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Paragraphedeliste"/>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Paragraphedeliste"/>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Paragraphedeliste"/>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Paragraphedeliste"/>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Paragraphedeliste"/>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Paragraphedeliste"/>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Paragraphedeliste"/>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Paragraphedeliste"/>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Paragraphedeliste"/>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Paragraphedeliste"/>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Paragraphedeliste"/>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Paragraphedeliste"/>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Paragraphedeliste"/>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Paragraphedeliste"/>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Paragraphedeliste"/>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Paragraphedeliste"/>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Paragraphedeliste"/>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Paragraphedeliste"/>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Paragraphedeliste"/>
        <w:numPr>
          <w:ilvl w:val="1"/>
          <w:numId w:val="57"/>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Paragraphedeliste"/>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Paragraphedeliste"/>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Paragraphedeliste"/>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Paragraphedeliste"/>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lastRenderedPageBreak/>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lastRenderedPageBreak/>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 xml:space="preserve">Generally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w:t>
            </w:r>
            <w:proofErr w:type="spellStart"/>
            <w:r>
              <w:t>codework</w:t>
            </w:r>
            <w:proofErr w:type="spellEnd"/>
            <w:r>
              <w:t xml:space="preserve">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 xml:space="preserve">From our point of view, the FFS associated to Initial Proposal 2-1 is a “breaking point”, meaning that according to our understanding the proposal in its current </w:t>
            </w:r>
            <w:r>
              <w:lastRenderedPageBreak/>
              <w:t>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Paragraphedeliste"/>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carrying </w:t>
            </w:r>
            <w:r w:rsidRPr="004F3740">
              <w:rPr>
                <w:rFonts w:ascii="Times New Roman" w:eastAsiaTheme="minorEastAsia" w:hAnsi="Times New Roman"/>
                <w:bCs/>
                <w:sz w:val="20"/>
                <w:szCs w:val="20"/>
              </w:rPr>
              <w:t xml:space="preserve"> feedback-disabled HARQ process.</w:t>
            </w:r>
          </w:p>
          <w:p w14:paraId="120D8FC6" w14:textId="77777777" w:rsidR="004C7BD4" w:rsidRPr="004F3740" w:rsidRDefault="004C7BD4" w:rsidP="004C7BD4">
            <w:pPr>
              <w:pStyle w:val="Paragraphedeliste"/>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lastRenderedPageBreak/>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lastRenderedPageBreak/>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lastRenderedPageBreak/>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2E0D06">
            <w:pPr>
              <w:pStyle w:val="Paragraphedeliste"/>
              <w:numPr>
                <w:ilvl w:val="0"/>
                <w:numId w:val="73"/>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2E0D06">
            <w:pPr>
              <w:pStyle w:val="Paragraphedeliste"/>
              <w:numPr>
                <w:ilvl w:val="0"/>
                <w:numId w:val="73"/>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Paragraphedeliste"/>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Paragraphedeliste"/>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Paragraphedeliste"/>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Paragraphedeliste"/>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Paragraphedeliste"/>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Paragraphedeliste"/>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Paragraphedeliste"/>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lastRenderedPageBreak/>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3E3957"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05pt;height:117.85pt;mso-width-percent:0;mso-height-percent:0;mso-width-percent:0;mso-height-percent:0" o:ole="">
                  <v:imagedata r:id="rId14" o:title=""/>
                </v:shape>
                <o:OLEObject Type="Embed" ProgID="Visio.Drawing.15" ShapeID="_x0000_i1025" DrawAspect="Content" ObjectID="_1683031427" r:id="rId15"/>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Paragraphedeliste"/>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Paragraphedeliste"/>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proofErr w:type="spellStart"/>
            <w:r>
              <w:rPr>
                <w:rFonts w:ascii="Times" w:eastAsiaTheme="minorEastAsia" w:hAnsi="Times"/>
                <w:sz w:val="20"/>
              </w:rPr>
              <w:t>enhabled</w:t>
            </w:r>
            <w:proofErr w:type="spellEnd"/>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3E3957" w:rsidP="00C6251F">
            <w:pPr>
              <w:spacing w:after="120"/>
              <w:contextualSpacing/>
              <w:jc w:val="both"/>
              <w:rPr>
                <w:rFonts w:ascii="Times" w:eastAsiaTheme="minorEastAsia" w:hAnsi="Times"/>
              </w:rPr>
            </w:pPr>
            <w:r>
              <w:rPr>
                <w:noProof/>
              </w:rPr>
              <w:object w:dxaOrig="27121" w:dyaOrig="9025" w14:anchorId="709D74B5">
                <v:shape id="_x0000_i1026" type="#_x0000_t75" alt="" style="width:415.05pt;height:138.05pt;mso-width-percent:0;mso-height-percent:0;mso-width-percent:0;mso-height-percent:0" o:ole="">
                  <v:imagedata r:id="rId16" o:title=""/>
                </v:shape>
                <o:OLEObject Type="Embed" ProgID="Visio.Drawing.15" ShapeID="_x0000_i1026" DrawAspect="Content" ObjectID="_1683031428" r:id="rId17"/>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lastRenderedPageBreak/>
              <w:t>F</w:t>
            </w:r>
            <w:r>
              <w:rPr>
                <w:rFonts w:ascii="Times" w:eastAsiaTheme="minorEastAsia" w:hAnsi="Times"/>
              </w:rPr>
              <w:t xml:space="preserve">or the above reasons, we don’t support Option-1. Our preference is Option 3. </w:t>
            </w:r>
          </w:p>
        </w:tc>
      </w:tr>
      <w:tr w:rsidR="003415B4" w14:paraId="67E94CD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w:t>
            </w:r>
            <w:proofErr w:type="spellStart"/>
            <w:r>
              <w:rPr>
                <w:rFonts w:eastAsia="MS Mincho"/>
                <w:lang w:eastAsia="zh-CN"/>
              </w:rPr>
              <w:t>mis</w:t>
            </w:r>
            <w:proofErr w:type="spellEnd"/>
            <w:r>
              <w:rPr>
                <w:rFonts w:eastAsia="MS Mincho"/>
                <w:lang w:eastAsia="zh-CN"/>
              </w:rPr>
              <w:t xml:space="preserve">-alignment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76AEE">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76AEE">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proofErr w:type="spellStart"/>
            <w:r>
              <w:rPr>
                <w:rFonts w:hint="eastAsia"/>
                <w:iCs/>
                <w:lang w:eastAsia="zh-CN"/>
              </w:rPr>
              <w:t>Spreadtrum</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76AEE">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rFonts w:hint="eastAsia"/>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bl>
    <w:p w14:paraId="58197E2B" w14:textId="4F0C46DC" w:rsidR="005F2788" w:rsidRPr="00687220" w:rsidRDefault="00576067" w:rsidP="005F2788">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xml:space="preserve">, </w:t>
      </w:r>
      <w:proofErr w:type="spellStart"/>
      <w:r w:rsidR="00D50278">
        <w:rPr>
          <w:lang w:eastAsia="x-none"/>
        </w:rPr>
        <w:t>CEWiT</w:t>
      </w:r>
      <w:proofErr w:type="spellEnd"/>
      <w:r w:rsidR="00EE7DEA">
        <w:rPr>
          <w:lang w:eastAsia="x-none"/>
        </w:rPr>
        <w:t>, Apple</w:t>
      </w:r>
      <w:r w:rsidR="003D5E2D">
        <w:rPr>
          <w:lang w:eastAsia="x-none"/>
        </w:rPr>
        <w:t>, ZTE</w:t>
      </w:r>
      <w:r w:rsidR="005C35F6">
        <w:rPr>
          <w:lang w:eastAsia="x-none"/>
        </w:rPr>
        <w:t xml:space="preserve">, </w:t>
      </w:r>
      <w:proofErr w:type="spellStart"/>
      <w:r w:rsidR="005C35F6">
        <w:rPr>
          <w:lang w:eastAsia="x-none"/>
        </w:rPr>
        <w:t>Samsung</w:t>
      </w:r>
      <w:r w:rsidR="00BF3FE6">
        <w:rPr>
          <w:lang w:eastAsia="x-none"/>
        </w:rPr>
        <w:t>,LG</w:t>
      </w:r>
      <w:proofErr w:type="spellEnd"/>
      <w:r w:rsidR="00931770">
        <w:rPr>
          <w:lang w:eastAsia="x-none"/>
        </w:rPr>
        <w:t xml:space="preserve">, </w:t>
      </w:r>
      <w:proofErr w:type="spellStart"/>
      <w:r w:rsidR="00931770">
        <w:rPr>
          <w:lang w:eastAsia="x-none"/>
        </w:rPr>
        <w:t>Xiaomi</w:t>
      </w:r>
      <w:r w:rsidR="00C8020B">
        <w:rPr>
          <w:lang w:eastAsia="x-none"/>
        </w:rPr>
        <w:t>,ITRI,APT</w:t>
      </w:r>
      <w:proofErr w:type="spellEnd"/>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Corpsdetext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Corpsdetext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Corpsdetexte"/>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Paragraphedeliste"/>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Paragraphedeliste"/>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Corpsdetexte"/>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Corpsdetext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Corpsdetexte"/>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Corpsdetexte"/>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Corpsdetexte"/>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rFonts w:hint="eastAsia"/>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3E3957"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1.9pt;height:186.65pt;mso-width-percent:0;mso-height-percent:0;mso-width-percent:0;mso-height-percent:0" o:ole="">
            <v:imagedata r:id="rId18" o:title=""/>
          </v:shape>
          <o:OLEObject Type="Embed" ProgID="Visio.Drawing.15" ShapeID="_x0000_i1027" DrawAspect="Content" ObjectID="_1683031429" r:id="rId19"/>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Paragraphedeliste"/>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Paragraphedeliste"/>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Paragraphedeliste"/>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Paragraphedeliste"/>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Paragraphedeliste"/>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Paragraphedeliste"/>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Paragraphedeliste"/>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6" w:name="_Hlk496824026"/>
      <w:bookmarkEnd w:id="6"/>
      <w:r w:rsidRPr="00EC13AF">
        <w:rPr>
          <w:rFonts w:ascii="Times New Roman" w:eastAsia="DengXian" w:hAnsi="Times New Roman"/>
          <w:i/>
          <w:color w:val="000000"/>
          <w:sz w:val="20"/>
          <w:szCs w:val="20"/>
        </w:rPr>
        <w:t xml:space="preserve">L2 is defined as the next uplink symbol with its CP starting </w:t>
      </w:r>
      <w:bookmarkStart w:id="7" w:name="_Hlk45746554"/>
      <w:bookmarkEnd w:id="7"/>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Corpsdetext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Grilledutableau"/>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Corpsdetext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3E3957" w:rsidP="000F1B4D">
            <w:pPr>
              <w:snapToGrid w:val="0"/>
              <w:ind w:left="360"/>
            </w:pPr>
            <w:r>
              <w:rPr>
                <w:noProof/>
              </w:rPr>
              <w:object w:dxaOrig="9649" w:dyaOrig="4813" w14:anchorId="53D4D086">
                <v:shape id="_x0000_i1028" type="#_x0000_t75" alt="" style="width:326.5pt;height:162.35pt;mso-width-percent:0;mso-height-percent:0;mso-width-percent:0;mso-height-percent:0" o:ole="">
                  <v:imagedata r:id="rId18" o:title=""/>
                </v:shape>
                <o:OLEObject Type="Embed" ProgID="Visio.Drawing.15" ShapeID="_x0000_i1028" DrawAspect="Content" ObjectID="_1683031430" r:id="rId20"/>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proofErr w:type="spellStart"/>
            <w:r>
              <w:rPr>
                <w:rFonts w:hint="eastAsia"/>
                <w:iCs/>
                <w:lang w:eastAsia="zh-CN"/>
              </w:rPr>
              <w:t>Spreadtrum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rFonts w:hint="eastAsia"/>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bl>
    <w:p w14:paraId="6D51585A" w14:textId="1A6A9BC3" w:rsidR="005F2788" w:rsidRDefault="00576067" w:rsidP="005F2788">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Corpsdetext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Corpsdetext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lastRenderedPageBreak/>
        <w:t xml:space="preserve">Option 2: Up to </w:t>
      </w:r>
      <w:proofErr w:type="spellStart"/>
      <w:r w:rsidRPr="008057DF">
        <w:rPr>
          <w:rFonts w:eastAsiaTheme="minorEastAsia"/>
          <w:lang w:val="en-GB" w:eastAsia="zh-CN"/>
        </w:rPr>
        <w:t>gNB’s</w:t>
      </w:r>
      <w:proofErr w:type="spellEnd"/>
      <w:r w:rsidRPr="008057DF">
        <w:rPr>
          <w:rFonts w:eastAsiaTheme="minorEastAsia"/>
          <w:lang w:val="en-GB" w:eastAsia="zh-CN"/>
        </w:rPr>
        <w:t xml:space="preserve">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w:t>
            </w:r>
            <w:r w:rsidRPr="002C3BDB">
              <w:rPr>
                <w:color w:val="000000" w:themeColor="text1"/>
                <w:lang w:eastAsia="zh-CN"/>
              </w:rPr>
              <w:lastRenderedPageBreak/>
              <w:t>feedback enabled.</w:t>
            </w:r>
            <w:r>
              <w:rPr>
                <w:color w:val="000000" w:themeColor="text1"/>
                <w:lang w:eastAsia="zh-CN"/>
              </w:rPr>
              <w:t xml:space="preserve"> </w:t>
            </w:r>
          </w:p>
        </w:tc>
      </w:tr>
      <w:tr w:rsidR="003F4EF3" w14:paraId="606D0316"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rFonts w:hint="eastAsia"/>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bl>
    <w:p w14:paraId="2FC1B16E" w14:textId="55F3417B" w:rsidR="00687220" w:rsidRPr="005F2788" w:rsidRDefault="00576067" w:rsidP="005F2788">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Corpsdetext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Corpsdetext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Corpsdetext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Corpsdetext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Corpsdetext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Corpsdetext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Corpsdetext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Corpsdetext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Corpsdetexte"/>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Corpsdetext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Corpsdetext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Corpsdetexte"/>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Corpsdetext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Corpsdetext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Corpsdetext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Corpsdetext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Corpsdetext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lastRenderedPageBreak/>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Paragraphedeliste"/>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proofErr w:type="spellStart"/>
            <w:r>
              <w:rPr>
                <w:rFonts w:hint="eastAsia"/>
                <w:iCs/>
                <w:lang w:eastAsia="zh-CN"/>
              </w:rPr>
              <w:t>Spreadtru</w:t>
            </w:r>
            <w:r>
              <w:rPr>
                <w:iCs/>
                <w:lang w:eastAsia="zh-CN"/>
              </w:rPr>
              <w:t>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rFonts w:hint="eastAsia"/>
                <w:iCs/>
                <w:lang w:eastAsia="zh-CN"/>
              </w:rPr>
            </w:pPr>
            <w:r>
              <w:rPr>
                <w:iCs/>
                <w:lang w:eastAsia="zh-CN"/>
              </w:rPr>
              <w:t>Thales</w:t>
            </w:r>
            <w:bookmarkStart w:id="8" w:name="_GoBack"/>
            <w:bookmarkEnd w:id="8"/>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bl>
    <w:p w14:paraId="42EA82C9" w14:textId="266D878A" w:rsidR="00C27075" w:rsidRDefault="00C27075" w:rsidP="00697A4A">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Titre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 xml:space="preserve">Observation 4: For Type-1 HARQ-ACK codebook, skipping the feedback of PDSCH occasions from </w:t>
            </w:r>
            <w:r w:rsidRPr="002F09DC">
              <w:rPr>
                <w:sz w:val="20"/>
                <w:szCs w:val="20"/>
                <w:lang w:val="en-GB" w:eastAsia="en-US"/>
              </w:rPr>
              <w:lastRenderedPageBreak/>
              <w:t>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Paragraphedeliste"/>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Paragraphedeliste"/>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Paragraphedeliste"/>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Paragraphedeliste"/>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Corpsdetexte"/>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Paragraphedeliste"/>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Paragraphedeliste"/>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val="fr-FR" w:eastAsia="fr-FR"/>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Paragraphedeliste"/>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val="fr-FR" w:eastAsia="fr-FR"/>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Paragraphedeliste"/>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Paragraphedeliste"/>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Paragraphedeliste"/>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Paragraphedeliste"/>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 xml:space="preserve">The value of T-DAI in a DCI format denotes the total number of {serving cell, PDCCH monitoring occasion}-pair(s) in which PDSCH reception(s) with enabled HARQ and SPS PDSCH release associated with the DCI </w:t>
            </w:r>
            <w:r w:rsidRPr="002F09DC">
              <w:rPr>
                <w:rFonts w:ascii="Times New Roman" w:hAnsi="Times New Roman"/>
                <w:sz w:val="20"/>
                <w:szCs w:val="20"/>
                <w:lang w:val="en-GB"/>
              </w:rPr>
              <w:lastRenderedPageBreak/>
              <w:t>formats up to the current PDCCH monitoring occasion.</w:t>
            </w:r>
          </w:p>
          <w:p w14:paraId="15705B7E" w14:textId="77777777" w:rsidR="00A70EDB" w:rsidRPr="002F09DC" w:rsidRDefault="00A70EDB" w:rsidP="00A70EDB">
            <w:pPr>
              <w:pStyle w:val="Paragraphedeliste"/>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Paragraphedeliste"/>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Paragraphedeliste"/>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Paragraphedeliste"/>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Paragraphedeliste"/>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Paragraphedeliste"/>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Paragraphedeliste"/>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Paragraphedeliste"/>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Paragraphedeliste"/>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Paragraphedeliste"/>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Paragraphedeliste"/>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Paragraphedeliste"/>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Paragraphedeliste"/>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lastRenderedPageBreak/>
              <w:t xml:space="preserve">UE expects that at least one HARQ process with feedback is configured for the scheduling of MAC-CE. </w:t>
            </w:r>
          </w:p>
          <w:p w14:paraId="1EAAEF0D" w14:textId="77777777" w:rsidR="004825FF" w:rsidRPr="002F09DC" w:rsidRDefault="004825FF" w:rsidP="004825FF">
            <w:pPr>
              <w:pStyle w:val="Paragraphedeliste"/>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Paragraphedeliste"/>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Paragraphedeliste"/>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Paragraphedeliste"/>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Paragraphedeliste"/>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Corpsdetexte"/>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w:t>
            </w:r>
            <w:proofErr w:type="spellStart"/>
            <w:r w:rsidRPr="002F09DC">
              <w:rPr>
                <w:lang w:eastAsia="ko-KR"/>
              </w:rPr>
              <w:t>fallback</w:t>
            </w:r>
            <w:proofErr w:type="spellEnd"/>
            <w:r w:rsidRPr="002F09DC">
              <w:rPr>
                <w:lang w:eastAsia="ko-KR"/>
              </w:rPr>
              <w:t xml:space="preserve">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Corpsdetexte"/>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Corpsdetexte"/>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Paragraphedeliste"/>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Paragraphedeliste"/>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w:t>
            </w:r>
            <w:proofErr w:type="spellStart"/>
            <w:r w:rsidRPr="002F09DC">
              <w:rPr>
                <w:bCs/>
              </w:rPr>
              <w:t>unknow</w:t>
            </w:r>
            <w:proofErr w:type="spellEnd"/>
            <w:r w:rsidRPr="002F09DC">
              <w:rPr>
                <w:bCs/>
              </w:rPr>
              <w:t xml:space="preserve">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 xml:space="preserve">legacy </w:t>
            </w:r>
            <w:proofErr w:type="spellStart"/>
            <w:r w:rsidRPr="002F09DC">
              <w:rPr>
                <w:bCs/>
                <w:iCs/>
              </w:rPr>
              <w:t>behavior</w:t>
            </w:r>
            <w:proofErr w:type="spellEnd"/>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lastRenderedPageBreak/>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Paragraphedeliste"/>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Paragraphedeliste"/>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Paragraphedeliste"/>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w:t>
            </w:r>
            <w:proofErr w:type="spellStart"/>
            <w:r w:rsidRPr="002F09DC">
              <w:rPr>
                <w:rFonts w:eastAsia="Times New Roman"/>
                <w:bCs/>
                <w:iCs/>
                <w:lang w:eastAsia="ja-JP"/>
              </w:rPr>
              <w:t>DataToUL</w:t>
            </w:r>
            <w:proofErr w:type="spellEnd"/>
            <w:r w:rsidRPr="002F09DC">
              <w:rPr>
                <w:rFonts w:eastAsia="Times New Roman"/>
                <w:bCs/>
                <w:iCs/>
                <w:lang w:eastAsia="ja-JP"/>
              </w:rPr>
              <w:t>-ACK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Paragraphedeliste"/>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Paragraphedeliste"/>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Paragraphedeliste"/>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Paragraphedeliste"/>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Paragraphedeliste"/>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Paragraphedeliste"/>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Paragraphedeliste"/>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Paragraphedeliste"/>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Paragraphedeliste"/>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Paragraphedeliste"/>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Paragraphedeliste"/>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Paragraphedeliste"/>
              <w:ind w:left="1008"/>
              <w:rPr>
                <w:rFonts w:ascii="Times New Roman" w:hAnsi="Times New Roman"/>
                <w:bCs/>
                <w:sz w:val="20"/>
                <w:szCs w:val="20"/>
              </w:rPr>
            </w:pPr>
          </w:p>
          <w:p w14:paraId="534DE211" w14:textId="77777777" w:rsidR="00D27109" w:rsidRPr="002F09DC" w:rsidRDefault="00D27109" w:rsidP="00D27109">
            <w:pPr>
              <w:pStyle w:val="Paragraphedeliste"/>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8765EB" w:rsidP="00764EA0">
            <w:pPr>
              <w:snapToGrid w:val="0"/>
              <w:spacing w:after="0"/>
              <w:jc w:val="center"/>
              <w:rPr>
                <w:lang w:eastAsia="x-none"/>
              </w:rPr>
            </w:pPr>
            <w:hyperlink r:id="rId22" w:history="1">
              <w:r w:rsidR="00EE7420" w:rsidRPr="002F09DC">
                <w:rPr>
                  <w:rStyle w:val="Lienhypertexte"/>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 xml:space="preserve">Proposal 2: Configure two subsets of HARQ processes for enabled HARQ processes and disabled HARQ processes respectively via RRC </w:t>
            </w:r>
            <w:proofErr w:type="spellStart"/>
            <w:r w:rsidRPr="002F09DC">
              <w:t>signaling</w:t>
            </w:r>
            <w:proofErr w:type="spellEnd"/>
            <w:r w:rsidRPr="002F09DC">
              <w:t>.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Corpsdetexte"/>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Corpsdetexte"/>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Corpsdetexte"/>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Corpsdetexte"/>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Corpsdetexte"/>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Corpsdetexte"/>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Corpsdetexte"/>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w:t>
            </w:r>
            <w:r w:rsidRPr="002F09DC">
              <w:rPr>
                <w:rFonts w:ascii="Times New Roman" w:hAnsi="Times New Roman"/>
                <w:szCs w:val="20"/>
              </w:rPr>
              <w:lastRenderedPageBreak/>
              <w:t xml:space="preserve">should be considered. </w:t>
            </w:r>
          </w:p>
          <w:p w14:paraId="5D4B5C8D" w14:textId="77777777" w:rsidR="00495280" w:rsidRPr="002F09DC" w:rsidRDefault="00495280" w:rsidP="00495280">
            <w:pPr>
              <w:pStyle w:val="Corpsdetexte"/>
              <w:numPr>
                <w:ilvl w:val="0"/>
                <w:numId w:val="62"/>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Corpsdetexte"/>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Corpsdetexte"/>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Corpsdetexte"/>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Corpsdetexte"/>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Corpsdetexte"/>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he size of the PDSCH-to-</w:t>
            </w:r>
            <w:proofErr w:type="spellStart"/>
            <w:r w:rsidRPr="002F09DC">
              <w:rPr>
                <w:rFonts w:ascii="Times New Roman" w:hAnsi="Times New Roman"/>
                <w:szCs w:val="20"/>
              </w:rPr>
              <w:t>HARQ_feedback</w:t>
            </w:r>
            <w:proofErr w:type="spellEnd"/>
            <w:r w:rsidRPr="002F09DC">
              <w:rPr>
                <w:rFonts w:ascii="Times New Roman" w:hAnsi="Times New Roman"/>
                <w:szCs w:val="20"/>
              </w:rPr>
              <w:t xml:space="preserve">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desillustration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Lienhypertexte"/>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Lienhypertexte"/>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53" w:history="1">
              <w:r w:rsidR="004A170E" w:rsidRPr="002F09DC">
                <w:rPr>
                  <w:rStyle w:val="Lienhypertexte"/>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54" w:history="1">
              <w:r w:rsidR="004A170E" w:rsidRPr="002F09DC">
                <w:rPr>
                  <w:rStyle w:val="Lienhypertexte"/>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55" w:history="1">
              <w:r w:rsidR="004A170E" w:rsidRPr="002F09DC">
                <w:rPr>
                  <w:rStyle w:val="Lienhypertexte"/>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56" w:history="1">
              <w:r w:rsidR="004A170E" w:rsidRPr="002F09DC">
                <w:rPr>
                  <w:rStyle w:val="Lienhypertexte"/>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57" w:history="1">
              <w:r w:rsidR="004A170E" w:rsidRPr="002F09DC">
                <w:rPr>
                  <w:rStyle w:val="Lienhypertexte"/>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58" w:history="1">
              <w:r w:rsidR="004A170E" w:rsidRPr="002F09DC">
                <w:rPr>
                  <w:rStyle w:val="Lienhypertexte"/>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59" w:history="1">
              <w:r w:rsidR="004A170E" w:rsidRPr="002F09DC">
                <w:rPr>
                  <w:rStyle w:val="Lienhypertexte"/>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60" w:history="1">
              <w:r w:rsidR="004A170E" w:rsidRPr="002F09DC">
                <w:rPr>
                  <w:rStyle w:val="Lienhypertexte"/>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61" w:history="1">
              <w:r w:rsidR="004A170E" w:rsidRPr="002F09DC">
                <w:rPr>
                  <w:rStyle w:val="Lienhypertexte"/>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62" w:history="1">
              <w:r w:rsidR="004A170E" w:rsidRPr="002F09DC">
                <w:rPr>
                  <w:rStyle w:val="Lienhypertexte"/>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63" w:history="1">
              <w:r w:rsidR="004A170E" w:rsidRPr="002F09DC">
                <w:rPr>
                  <w:rStyle w:val="Lienhypertexte"/>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Corpsdetexte"/>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desillustration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Lienhypertexte"/>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Lienhypertexte"/>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65" w:history="1">
              <w:r w:rsidR="004A170E" w:rsidRPr="002F09DC">
                <w:rPr>
                  <w:rStyle w:val="Lienhypertexte"/>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 xml:space="preserve">Whether 32 HARQ processes are used or not in the downlink can be configured by </w:t>
              </w:r>
              <w:r w:rsidR="004A170E" w:rsidRPr="002F09DC">
                <w:rPr>
                  <w:rStyle w:val="Lienhypertexte"/>
                  <w:rFonts w:ascii="Times New Roman" w:hAnsi="Times New Roman" w:cs="Times New Roman"/>
                  <w:b w:val="0"/>
                  <w:noProof/>
                  <w:sz w:val="20"/>
                  <w:szCs w:val="20"/>
                </w:rPr>
                <w:lastRenderedPageBreak/>
                <w:t>RRC.</w:t>
              </w:r>
            </w:hyperlink>
          </w:p>
          <w:p w14:paraId="120FC47A"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66" w:history="1">
              <w:r w:rsidR="004A170E" w:rsidRPr="002F09DC">
                <w:rPr>
                  <w:rStyle w:val="Lienhypertexte"/>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67" w:history="1">
              <w:r w:rsidR="004A170E" w:rsidRPr="002F09DC">
                <w:rPr>
                  <w:rStyle w:val="Lienhypertexte"/>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68" w:history="1">
              <w:r w:rsidR="004A170E" w:rsidRPr="002F09DC">
                <w:rPr>
                  <w:rStyle w:val="Lienhypertexte"/>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69" w:history="1">
              <w:r w:rsidR="004A170E" w:rsidRPr="002F09DC">
                <w:rPr>
                  <w:rStyle w:val="Lienhypertexte"/>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70" w:history="1">
              <w:r w:rsidR="004A170E" w:rsidRPr="002F09DC">
                <w:rPr>
                  <w:rStyle w:val="Lienhypertexte"/>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71" w:history="1">
              <w:r w:rsidR="004A170E" w:rsidRPr="002F09DC">
                <w:rPr>
                  <w:rStyle w:val="Lienhypertexte"/>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72" w:history="1">
              <w:r w:rsidR="004A170E" w:rsidRPr="002F09DC">
                <w:rPr>
                  <w:rStyle w:val="Lienhypertexte"/>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73" w:history="1">
              <w:r w:rsidR="004A170E" w:rsidRPr="002F09DC">
                <w:rPr>
                  <w:rStyle w:val="Lienhypertexte"/>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74" w:history="1">
              <w:r w:rsidR="004A170E" w:rsidRPr="002F09DC">
                <w:rPr>
                  <w:rStyle w:val="Lienhypertexte"/>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8765EB" w:rsidP="004A170E">
            <w:pPr>
              <w:pStyle w:val="Tabledesillustrations"/>
              <w:tabs>
                <w:tab w:val="right" w:leader="dot" w:pos="9629"/>
              </w:tabs>
              <w:rPr>
                <w:rFonts w:ascii="Times New Roman" w:hAnsi="Times New Roman" w:cs="Times New Roman"/>
                <w:b w:val="0"/>
                <w:noProof/>
                <w:sz w:val="20"/>
                <w:szCs w:val="20"/>
              </w:rPr>
            </w:pPr>
            <w:hyperlink w:anchor="_Toc71641875" w:history="1">
              <w:r w:rsidR="004A170E" w:rsidRPr="002F09DC">
                <w:rPr>
                  <w:rStyle w:val="Lienhypertexte"/>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Lienhypertexte"/>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 xml:space="preserve">Proposal 4: The UE determines the Type-2 HARQ codebook size based on the scheduled HARQ </w:t>
            </w:r>
            <w:r w:rsidRPr="002F09DC">
              <w:rPr>
                <w:bCs/>
              </w:rPr>
              <w:lastRenderedPageBreak/>
              <w:t>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proofErr w:type="spellStart"/>
            <w:r w:rsidRPr="002F09DC">
              <w:rPr>
                <w:lang w:val="en-IN"/>
              </w:rPr>
              <w:t>cDAI</w:t>
            </w:r>
            <w:proofErr w:type="spellEnd"/>
            <w:r w:rsidRPr="002F09DC">
              <w:rPr>
                <w:lang w:val="en-IN"/>
              </w:rPr>
              <w:t xml:space="preserve"> and </w:t>
            </w:r>
            <w:proofErr w:type="spellStart"/>
            <w:r w:rsidRPr="002F09DC">
              <w:rPr>
                <w:lang w:val="en-IN"/>
              </w:rPr>
              <w:t>tDAI</w:t>
            </w:r>
            <w:proofErr w:type="spellEnd"/>
            <w:r w:rsidRPr="002F09DC">
              <w:rPr>
                <w:lang w:val="en-IN"/>
              </w:rPr>
              <w:t xml:space="preserve">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 xml:space="preserve">In DCI scheduling PDSCH with feedback enabled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 xml:space="preserve">In DCI scheduling PDSCH with feedback disabled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lastRenderedPageBreak/>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Paragraphedeliste"/>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Paragraphedeliste"/>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Paragraphedeliste"/>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Paragraphedeliste"/>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Paragraphedeliste"/>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Paragraphedeliste"/>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Paragraphedeliste"/>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Paragraphedeliste"/>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Paragraphedeliste"/>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lastRenderedPageBreak/>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Paragraphedeliste"/>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Paragraphedeliste"/>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Paragraphedeliste"/>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Paragraphedeliste"/>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Paragraphedeliste"/>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Paragraphedeliste"/>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Paragraphedeliste"/>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Paragraphedeliste"/>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Paragraphedeliste"/>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Paragraphedeliste"/>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lastRenderedPageBreak/>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desillustration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Paragraphedeliste"/>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Paragraphedeliste"/>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Paragraphedeliste"/>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Paragraphedeliste"/>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Paragraphedeliste"/>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Paragraphedeliste"/>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Paragraphedeliste"/>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Paragraphedeliste"/>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Paragraphedeliste"/>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Paragraphedeliste"/>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lastRenderedPageBreak/>
              <w:t xml:space="preserve">for PDSCH : </w:t>
            </w:r>
          </w:p>
          <w:p w14:paraId="52F53289" w14:textId="1A102ABC" w:rsidR="00316635" w:rsidRPr="002F09DC" w:rsidRDefault="00316635" w:rsidP="00316635">
            <w:pPr>
              <w:pStyle w:val="Paragraphedeliste"/>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Paragraphedeliste"/>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316635">
            <w:pPr>
              <w:pStyle w:val="Paragraphedeliste"/>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Paragraphedeliste"/>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Paragraphedeliste"/>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Paragraphedeliste"/>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316635">
            <w:pPr>
              <w:pStyle w:val="Paragraphedeliste"/>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Paragraphedeliste"/>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Paragraphedeliste"/>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316635">
            <w:pPr>
              <w:pStyle w:val="Paragraphedeliste"/>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Paragraphedeliste"/>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Paragraphedeliste"/>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Paragraphedeliste"/>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Paragraphedeliste"/>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Paragraphedeliste"/>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Paragraphedeliste"/>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Paragraphedeliste"/>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Paragraphedeliste"/>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 xml:space="preserve">Observation 18 : In NR, there is no feedback mechanism to guide aggregation factor into lower value for </w:t>
            </w:r>
            <w:r w:rsidRPr="002F09DC">
              <w:rPr>
                <w:lang w:eastAsia="ko-KR"/>
              </w:rPr>
              <w:lastRenderedPageBreak/>
              <w:t>better throughput</w:t>
            </w:r>
          </w:p>
          <w:p w14:paraId="5CE1A107" w14:textId="77777777" w:rsidR="00316635" w:rsidRPr="002F09DC" w:rsidRDefault="00316635" w:rsidP="00316635">
            <w:pPr>
              <w:pStyle w:val="Paragraphedeliste"/>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Paragraphedeliste"/>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Paragraphedeliste"/>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Paragraphedeliste"/>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Paragraphedeliste"/>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Paragraphedeliste"/>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Paragraphedeliste"/>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Paragraphedeliste"/>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Paragraphedeliste"/>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316635">
            <w:pPr>
              <w:pStyle w:val="Paragraphedeliste"/>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Paragraphedeliste"/>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Paragraphedeliste"/>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Paragraphedeliste"/>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Paragraphedeliste"/>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Paragraphedeliste"/>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Paragraphedeliste"/>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Paragraphedeliste"/>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request for guiding </w:t>
            </w:r>
            <w:proofErr w:type="spellStart"/>
            <w:r w:rsidRPr="002F09DC">
              <w:rPr>
                <w:rFonts w:ascii="Times New Roman" w:hAnsi="Times New Roman"/>
                <w:sz w:val="20"/>
                <w:szCs w:val="20"/>
              </w:rPr>
              <w:t>pdsch-AggregationFactor</w:t>
            </w:r>
            <w:proofErr w:type="spellEnd"/>
          </w:p>
          <w:p w14:paraId="2726DC1D" w14:textId="77777777" w:rsidR="00316635" w:rsidRPr="002F09DC" w:rsidRDefault="00316635" w:rsidP="00316635">
            <w:pPr>
              <w:pStyle w:val="Paragraphedeliste"/>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Paragraphedeliste"/>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Paragraphedeliste"/>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Paragraphedeliste"/>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Paragraphedeliste"/>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lastRenderedPageBreak/>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lastRenderedPageBreak/>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lastRenderedPageBreak/>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Paragraphedeliste"/>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Paragraphedeliste"/>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Paragraphedeliste"/>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Paragraphedeliste"/>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Paragraphedeliste"/>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Paragraphedeliste"/>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Paragraphedeliste"/>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 xml:space="preserve">Dynamic indication to inform the UE if HARQ-feedback is expected or not for </w:t>
            </w:r>
            <w:proofErr w:type="spellStart"/>
            <w:r w:rsidRPr="002F09DC">
              <w:rPr>
                <w:iCs/>
                <w:lang w:eastAsia="zh-CN"/>
              </w:rPr>
              <w:t>M</w:t>
            </w:r>
            <w:r w:rsidRPr="002F09DC">
              <w:rPr>
                <w:iCs/>
                <w:vertAlign w:val="subscript"/>
                <w:lang w:eastAsia="zh-CN"/>
              </w:rPr>
              <w:t>A,c</w:t>
            </w:r>
            <w:proofErr w:type="spellEnd"/>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 xml:space="preserve">Codebook size reduction can be achieved if only HARQ disabled processes and SPS PDSCHs are scheduled in </w:t>
            </w:r>
            <w:proofErr w:type="spellStart"/>
            <w:r w:rsidRPr="002F09DC">
              <w:rPr>
                <w:iCs/>
                <w:lang w:eastAsia="zh-CN"/>
              </w:rPr>
              <w:t>M</w:t>
            </w:r>
            <w:r w:rsidRPr="002F09DC">
              <w:rPr>
                <w:iCs/>
                <w:vertAlign w:val="subscript"/>
                <w:lang w:eastAsia="zh-CN"/>
              </w:rPr>
              <w:t>A,c</w:t>
            </w:r>
            <w:proofErr w:type="spellEnd"/>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Paragraphedeliste"/>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proofErr w:type="spellStart"/>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proofErr w:type="spellEnd"/>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Paragraphedeliste"/>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no SPS PDSCH(s) configured within </w:t>
            </w:r>
            <w:proofErr w:type="spellStart"/>
            <w:r w:rsidRPr="002F09DC">
              <w:rPr>
                <w:rFonts w:ascii="Times New Roman" w:hAnsi="Times New Roman"/>
                <w:iCs/>
                <w:sz w:val="20"/>
                <w:szCs w:val="20"/>
                <w:lang w:eastAsia="zh-CN"/>
              </w:rPr>
              <w:t>MA,c</w:t>
            </w:r>
            <w:proofErr w:type="spellEnd"/>
            <w:r w:rsidRPr="002F09DC">
              <w:rPr>
                <w:rFonts w:ascii="Times New Roman" w:hAnsi="Times New Roman"/>
                <w:iCs/>
                <w:sz w:val="20"/>
                <w:szCs w:val="20"/>
                <w:lang w:eastAsia="zh-CN"/>
              </w:rPr>
              <w:t xml:space="preserve"> occasion, UE omits HARQ feedback.</w:t>
            </w:r>
          </w:p>
          <w:p w14:paraId="6FE2A785" w14:textId="77777777" w:rsidR="004A151A" w:rsidRPr="002F09DC" w:rsidRDefault="004A151A" w:rsidP="004A151A">
            <w:pPr>
              <w:pStyle w:val="Paragraphedeliste"/>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SPS PDSCH(s) configured within </w:t>
            </w:r>
            <w:proofErr w:type="spellStart"/>
            <w:r w:rsidRPr="002F09DC">
              <w:rPr>
                <w:rFonts w:ascii="Times New Roman" w:hAnsi="Times New Roman"/>
                <w:iCs/>
                <w:sz w:val="20"/>
                <w:szCs w:val="20"/>
                <w:lang w:eastAsia="zh-CN"/>
              </w:rPr>
              <w:t>MA,c</w:t>
            </w:r>
            <w:proofErr w:type="spellEnd"/>
            <w:r w:rsidRPr="002F09DC">
              <w:rPr>
                <w:rFonts w:ascii="Times New Roman" w:hAnsi="Times New Roman"/>
                <w:iCs/>
                <w:sz w:val="20"/>
                <w:szCs w:val="20"/>
                <w:lang w:eastAsia="zh-CN"/>
              </w:rPr>
              <w:t xml:space="preserve"> occasion, UE omits HARQ feedback for non SPS PDSCH occasions.</w:t>
            </w:r>
          </w:p>
          <w:p w14:paraId="654198D8" w14:textId="77777777" w:rsidR="004A151A" w:rsidRPr="002F09DC" w:rsidRDefault="004A151A" w:rsidP="004A151A">
            <w:pPr>
              <w:pStyle w:val="Paragraphedeliste"/>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w:t>
            </w:r>
            <w:proofErr w:type="spellStart"/>
            <w:r w:rsidRPr="002F09DC">
              <w:rPr>
                <w:iCs/>
                <w:lang w:eastAsia="zh-CN"/>
              </w:rPr>
              <w:t>fallback</w:t>
            </w:r>
            <w:proofErr w:type="spellEnd"/>
            <w:r w:rsidRPr="002F09DC">
              <w:rPr>
                <w:iCs/>
                <w:lang w:eastAsia="zh-CN"/>
              </w:rPr>
              <w:t xml:space="preserve"> DCI formats:</w:t>
            </w:r>
          </w:p>
          <w:p w14:paraId="07744E07" w14:textId="77777777" w:rsidR="004A151A" w:rsidRPr="002F09DC" w:rsidRDefault="004A151A" w:rsidP="004A151A">
            <w:pPr>
              <w:pStyle w:val="Paragraphedeliste"/>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w:t>
            </w:r>
            <w:r w:rsidRPr="002F09DC">
              <w:rPr>
                <w:rFonts w:ascii="Times New Roman" w:hAnsi="Times New Roman"/>
                <w:iCs/>
                <w:sz w:val="20"/>
                <w:szCs w:val="20"/>
                <w:lang w:eastAsia="zh-CN"/>
              </w:rPr>
              <w:lastRenderedPageBreak/>
              <w:t>1</w:t>
            </w:r>
          </w:p>
          <w:p w14:paraId="13E22528" w14:textId="77777777" w:rsidR="004A151A" w:rsidRPr="002F09DC" w:rsidRDefault="004A151A" w:rsidP="004A151A">
            <w:pPr>
              <w:pStyle w:val="Paragraphedeliste"/>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Paragraphedeliste"/>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Paragraphedeliste"/>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Paragraphedeliste"/>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Paragraphedeliste"/>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8765EB" w:rsidP="00764EA0">
            <w:pPr>
              <w:snapToGrid w:val="0"/>
              <w:spacing w:after="0"/>
              <w:jc w:val="center"/>
            </w:pPr>
            <w:hyperlink r:id="rId23" w:history="1">
              <w:r w:rsidR="00902533" w:rsidRPr="002F09DC">
                <w:rPr>
                  <w:rStyle w:val="Lienhypertexte"/>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 xml:space="preserve">Proposal 5: Whether to use feedback-disabled process or enabled process for SPS PDSCH is up to </w:t>
            </w:r>
            <w:r w:rsidRPr="002F09DC">
              <w:rPr>
                <w:lang w:eastAsia="ja-JP"/>
              </w:rPr>
              <w:lastRenderedPageBreak/>
              <w:t>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8765EB"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8765EB"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8765EB"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8765EB"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Nokia, Frank" w:date="2021-05-20T00:53:00Z" w:initials="FF">
    <w:p w14:paraId="3BD1E3D1" w14:textId="30A1E86F" w:rsidR="000508C0" w:rsidRDefault="000508C0">
      <w:pPr>
        <w:pStyle w:val="Commentaire"/>
      </w:pPr>
      <w:r>
        <w:rPr>
          <w:rStyle w:val="Marquedecommentaire"/>
        </w:rPr>
        <w:annotationRef/>
      </w:r>
      <w:r>
        <w:t>Existing DCI formats 0_0 and 1_0 have had specific fields added to accommodate the special situation of channel access (</w:t>
      </w:r>
      <w:proofErr w:type="spellStart"/>
      <w:r>
        <w:rPr>
          <w:rFonts w:eastAsiaTheme="minorEastAsia"/>
          <w:lang w:eastAsia="zh-CN"/>
        </w:rPr>
        <w:t>ChannelAccess-CPext</w:t>
      </w:r>
      <w:proofErr w:type="spellEnd"/>
      <w:r>
        <w:rPr>
          <w:rFonts w:eastAsiaTheme="minorEastAsia"/>
          <w:lang w:eastAsia="zh-CN"/>
        </w:rPr>
        <w:t>), so in principle a similar extension could be added for NTN scenarios.</w:t>
      </w:r>
    </w:p>
  </w:comment>
  <w:comment w:id="3" w:author="ZTE" w:date="2021-05-20T17:37:00Z" w:initials="MSOffice">
    <w:p w14:paraId="5BED857D" w14:textId="11395E26" w:rsidR="000508C0" w:rsidRDefault="000508C0">
      <w:pPr>
        <w:pStyle w:val="Commentaire"/>
        <w:rPr>
          <w:lang w:eastAsia="zh-CN"/>
        </w:rPr>
      </w:pPr>
      <w:r>
        <w:rPr>
          <w:rStyle w:val="Marquedecommentaire"/>
        </w:rPr>
        <w:annotationRef/>
      </w:r>
      <w:r>
        <w:rPr>
          <w:rFonts w:hint="eastAsia"/>
          <w:lang w:eastAsia="zh-CN"/>
        </w:rPr>
        <w:t>T</w:t>
      </w:r>
      <w:r>
        <w:rPr>
          <w:lang w:eastAsia="zh-CN"/>
        </w:rPr>
        <w:t>his option can only be applied for DCI 0-2/1-2 with same principle.</w:t>
      </w:r>
    </w:p>
  </w:comment>
  <w:comment w:id="4" w:author="Nokia, Frank" w:date="2021-05-20T00:54:00Z" w:initials="FF">
    <w:p w14:paraId="1EDFC73B" w14:textId="153F04BB" w:rsidR="000508C0" w:rsidRDefault="000508C0">
      <w:pPr>
        <w:pStyle w:val="Commentaire"/>
      </w:pPr>
      <w:r>
        <w:rPr>
          <w:rStyle w:val="Marquedecommentair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5" w:author="Chien-Chun" w:date="2021-05-19T14:09:00Z" w:initials="C">
    <w:p w14:paraId="60F73370" w14:textId="108F82AE" w:rsidR="000508C0" w:rsidRDefault="000508C0">
      <w:pPr>
        <w:pStyle w:val="Commentaire"/>
      </w:pPr>
      <w:r>
        <w:rPr>
          <w:rStyle w:val="Marquedecommentair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1E3D1" w15:done="0"/>
  <w15:commentEx w15:paraId="5BED857D"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1E3D1" w16cid:durableId="2450319F"/>
  <w16cid:commentId w16cid:paraId="1EDFC73B" w16cid:durableId="245031E2"/>
  <w16cid:commentId w16cid:paraId="60F73370" w16cid:durableId="244F9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D94EB" w14:textId="77777777" w:rsidR="008765EB" w:rsidRDefault="008765EB">
      <w:pPr>
        <w:spacing w:after="0"/>
      </w:pPr>
      <w:r>
        <w:separator/>
      </w:r>
    </w:p>
  </w:endnote>
  <w:endnote w:type="continuationSeparator" w:id="0">
    <w:p w14:paraId="13E39C75" w14:textId="77777777" w:rsidR="008765EB" w:rsidRDefault="00876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FBE8" w14:textId="77777777" w:rsidR="000508C0" w:rsidRDefault="000508C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D8CACF9" w14:textId="77777777" w:rsidR="000508C0" w:rsidRDefault="000508C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5773" w14:textId="4B957A75" w:rsidR="000508C0" w:rsidRDefault="000508C0">
    <w:pPr>
      <w:pStyle w:val="Pieddepage"/>
      <w:ind w:right="360"/>
    </w:pPr>
    <w:r>
      <w:rPr>
        <w:rStyle w:val="Numrodepage"/>
      </w:rPr>
      <w:fldChar w:fldCharType="begin"/>
    </w:r>
    <w:r>
      <w:rPr>
        <w:rStyle w:val="Numrodepage"/>
      </w:rPr>
      <w:instrText xml:space="preserve"> PAGE </w:instrText>
    </w:r>
    <w:r>
      <w:rPr>
        <w:rStyle w:val="Numrodepage"/>
      </w:rPr>
      <w:fldChar w:fldCharType="separate"/>
    </w:r>
    <w:r w:rsidR="00AD264E">
      <w:rPr>
        <w:rStyle w:val="Numrodepage"/>
        <w:noProof/>
      </w:rPr>
      <w:t>17</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AD264E">
      <w:rPr>
        <w:rStyle w:val="Numrodepage"/>
        <w:noProof/>
      </w:rPr>
      <w:t>33</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543AD" w14:textId="77777777" w:rsidR="008765EB" w:rsidRDefault="008765EB">
      <w:pPr>
        <w:spacing w:after="0"/>
      </w:pPr>
      <w:r>
        <w:separator/>
      </w:r>
    </w:p>
  </w:footnote>
  <w:footnote w:type="continuationSeparator" w:id="0">
    <w:p w14:paraId="1561CD4B" w14:textId="77777777" w:rsidR="008765EB" w:rsidRDefault="008765E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723C" w14:textId="77777777" w:rsidR="000508C0" w:rsidRDefault="000508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8">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3">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2">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3">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4">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5">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7">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4"/>
  </w:num>
  <w:num w:numId="6">
    <w:abstractNumId w:val="1"/>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7"/>
  </w:num>
  <w:num w:numId="10">
    <w:abstractNumId w:val="16"/>
  </w:num>
  <w:num w:numId="11">
    <w:abstractNumId w:val="61"/>
  </w:num>
  <w:num w:numId="12">
    <w:abstractNumId w:val="63"/>
  </w:num>
  <w:num w:numId="13">
    <w:abstractNumId w:val="43"/>
  </w:num>
  <w:num w:numId="14">
    <w:abstractNumId w:val="19"/>
  </w:num>
  <w:num w:numId="15">
    <w:abstractNumId w:val="13"/>
  </w:num>
  <w:num w:numId="16">
    <w:abstractNumId w:val="25"/>
  </w:num>
  <w:num w:numId="17">
    <w:abstractNumId w:val="35"/>
  </w:num>
  <w:num w:numId="18">
    <w:abstractNumId w:val="39"/>
  </w:num>
  <w:num w:numId="19">
    <w:abstractNumId w:val="18"/>
  </w:num>
  <w:num w:numId="20">
    <w:abstractNumId w:val="72"/>
  </w:num>
  <w:num w:numId="21">
    <w:abstractNumId w:val="48"/>
  </w:num>
  <w:num w:numId="22">
    <w:abstractNumId w:val="7"/>
  </w:num>
  <w:num w:numId="23">
    <w:abstractNumId w:val="21"/>
  </w:num>
  <w:num w:numId="24">
    <w:abstractNumId w:val="71"/>
  </w:num>
  <w:num w:numId="25">
    <w:abstractNumId w:val="68"/>
  </w:num>
  <w:num w:numId="26">
    <w:abstractNumId w:val="32"/>
  </w:num>
  <w:num w:numId="27">
    <w:abstractNumId w:val="62"/>
  </w:num>
  <w:num w:numId="28">
    <w:abstractNumId w:val="9"/>
  </w:num>
  <w:num w:numId="29">
    <w:abstractNumId w:val="14"/>
  </w:num>
  <w:num w:numId="30">
    <w:abstractNumId w:val="60"/>
  </w:num>
  <w:num w:numId="31">
    <w:abstractNumId w:val="65"/>
  </w:num>
  <w:num w:numId="32">
    <w:abstractNumId w:val="27"/>
  </w:num>
  <w:num w:numId="33">
    <w:abstractNumId w:val="15"/>
  </w:num>
  <w:num w:numId="34">
    <w:abstractNumId w:val="59"/>
  </w:num>
  <w:num w:numId="35">
    <w:abstractNumId w:val="10"/>
  </w:num>
  <w:num w:numId="36">
    <w:abstractNumId w:val="33"/>
  </w:num>
  <w:num w:numId="37">
    <w:abstractNumId w:val="52"/>
  </w:num>
  <w:num w:numId="38">
    <w:abstractNumId w:val="38"/>
  </w:num>
  <w:num w:numId="39">
    <w:abstractNumId w:val="41"/>
  </w:num>
  <w:num w:numId="40">
    <w:abstractNumId w:val="8"/>
  </w:num>
  <w:num w:numId="41">
    <w:abstractNumId w:val="55"/>
  </w:num>
  <w:num w:numId="42">
    <w:abstractNumId w:val="47"/>
  </w:num>
  <w:num w:numId="43">
    <w:abstractNumId w:val="20"/>
  </w:num>
  <w:num w:numId="44">
    <w:abstractNumId w:val="29"/>
  </w:num>
  <w:num w:numId="45">
    <w:abstractNumId w:val="57"/>
  </w:num>
  <w:num w:numId="46">
    <w:abstractNumId w:val="49"/>
  </w:num>
  <w:num w:numId="47">
    <w:abstractNumId w:val="36"/>
  </w:num>
  <w:num w:numId="48">
    <w:abstractNumId w:val="5"/>
  </w:num>
  <w:num w:numId="49">
    <w:abstractNumId w:val="24"/>
  </w:num>
  <w:num w:numId="50">
    <w:abstractNumId w:val="56"/>
  </w:num>
  <w:num w:numId="51">
    <w:abstractNumId w:val="44"/>
  </w:num>
  <w:num w:numId="52">
    <w:abstractNumId w:val="53"/>
  </w:num>
  <w:num w:numId="53">
    <w:abstractNumId w:val="58"/>
  </w:num>
  <w:num w:numId="54">
    <w:abstractNumId w:val="2"/>
  </w:num>
  <w:num w:numId="55">
    <w:abstractNumId w:val="12"/>
  </w:num>
  <w:num w:numId="56">
    <w:abstractNumId w:val="28"/>
  </w:num>
  <w:num w:numId="57">
    <w:abstractNumId w:val="46"/>
  </w:num>
  <w:num w:numId="58">
    <w:abstractNumId w:val="37"/>
  </w:num>
  <w:num w:numId="59">
    <w:abstractNumId w:val="42"/>
  </w:num>
  <w:num w:numId="60">
    <w:abstractNumId w:val="22"/>
  </w:num>
  <w:num w:numId="61">
    <w:abstractNumId w:val="4"/>
  </w:num>
  <w:num w:numId="62">
    <w:abstractNumId w:val="6"/>
  </w:num>
  <w:num w:numId="63">
    <w:abstractNumId w:val="11"/>
  </w:num>
  <w:num w:numId="64">
    <w:abstractNumId w:val="51"/>
  </w:num>
  <w:num w:numId="65">
    <w:abstractNumId w:val="30"/>
  </w:num>
  <w:num w:numId="66">
    <w:abstractNumId w:val="31"/>
  </w:num>
  <w:num w:numId="67">
    <w:abstractNumId w:val="69"/>
  </w:num>
  <w:num w:numId="68">
    <w:abstractNumId w:val="64"/>
  </w:num>
  <w:num w:numId="69">
    <w:abstractNumId w:val="45"/>
  </w:num>
  <w:num w:numId="70">
    <w:abstractNumId w:val="66"/>
  </w:num>
  <w:num w:numId="71">
    <w:abstractNumId w:val="67"/>
  </w:num>
  <w:num w:numId="72">
    <w:abstractNumId w:val="3"/>
  </w:num>
  <w:num w:numId="73">
    <w:abstractNumId w:val="26"/>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Frank">
    <w15:presenceInfo w15:providerId="None" w15:userId="Nokia, Frank"/>
  </w15:person>
  <w15:person w15:author="ZTE">
    <w15:presenceInfo w15:providerId="None" w15:userId="ZTE"/>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Titre1">
    <w:name w:val="heading 1"/>
    <w:next w:val="Normal"/>
    <w:link w:val="Titre1C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Objetducommentaire">
    <w:name w:val="annotation subject"/>
    <w:basedOn w:val="Commentaire"/>
    <w:next w:val="Commentaire"/>
    <w:semiHidden/>
    <w:qFormat/>
    <w:rPr>
      <w:b/>
      <w:bCs/>
    </w:rPr>
  </w:style>
  <w:style w:type="paragraph" w:styleId="Commentaire">
    <w:name w:val="annotation text"/>
    <w:basedOn w:val="Normal"/>
    <w:link w:val="CommentaireCar"/>
    <w:qFormat/>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LgendeCar"/>
    <w:qFormat/>
    <w:pPr>
      <w:spacing w:before="120" w:after="120"/>
    </w:pPr>
    <w:rPr>
      <w:b/>
      <w:bCs/>
    </w:rPr>
  </w:style>
  <w:style w:type="paragraph" w:styleId="Explorateurdedocuments">
    <w:name w:val="Document Map"/>
    <w:basedOn w:val="Normal"/>
    <w:semiHidden/>
    <w:qFormat/>
    <w:pPr>
      <w:shd w:val="clear" w:color="auto" w:fill="000080"/>
    </w:pPr>
    <w:rPr>
      <w:rFonts w:ascii="Tahoma" w:hAnsi="Tahoma"/>
    </w:rPr>
  </w:style>
  <w:style w:type="paragraph" w:styleId="Corpsdetexte3">
    <w:name w:val="Body Text 3"/>
    <w:basedOn w:val="Normal"/>
    <w:qFormat/>
    <w:rPr>
      <w:i/>
    </w:rPr>
  </w:style>
  <w:style w:type="paragraph" w:styleId="Corpsdetexte">
    <w:name w:val="Body Text"/>
    <w:basedOn w:val="Normal"/>
    <w:link w:val="CorpsdetexteCar"/>
    <w:qFormat/>
    <w:pPr>
      <w:spacing w:after="120"/>
      <w:jc w:val="both"/>
    </w:pPr>
    <w:rPr>
      <w:rFonts w:ascii="Times" w:hAnsi="Times"/>
      <w:szCs w:val="24"/>
      <w:lang w:val="en-US"/>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semiHidden/>
    <w:qFormat/>
    <w:rPr>
      <w:rFonts w:ascii="Tahoma" w:hAnsi="Tahoma" w:cs="Tahoma"/>
      <w:sz w:val="16"/>
      <w:szCs w:val="16"/>
    </w:rPr>
  </w:style>
  <w:style w:type="paragraph" w:styleId="Pieddepage">
    <w:name w:val="footer"/>
    <w:basedOn w:val="Normal"/>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rPr>
  </w:style>
  <w:style w:type="paragraph" w:styleId="Notedebasdepage">
    <w:name w:val="footnote text"/>
    <w:basedOn w:val="Normal"/>
    <w:link w:val="NotedebasdepageCar"/>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semiHidden/>
    <w:qFormat/>
    <w:rPr>
      <w:sz w:val="16"/>
      <w:szCs w:val="16"/>
    </w:rPr>
  </w:style>
  <w:style w:type="character" w:styleId="Appelnotedebasdep">
    <w:name w:val="footnote reference"/>
    <w:qFormat/>
    <w:rPr>
      <w:b/>
      <w:position w:val="6"/>
      <w:sz w:val="16"/>
    </w:rPr>
  </w:style>
  <w:style w:type="table" w:styleId="Grilledutableau">
    <w:name w:val="Table Grid"/>
    <w:basedOn w:val="Tableau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fonce-Accent6">
    <w:name w:val="Dark List Accent 6"/>
    <w:basedOn w:val="TableauNormal"/>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Titre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Titre1Car">
    <w:name w:val="Titre 1 Car"/>
    <w:link w:val="Titre1"/>
    <w:qFormat/>
    <w:rPr>
      <w:rFonts w:ascii="Arial" w:hAnsi="Arial"/>
      <w:sz w:val="36"/>
      <w:lang w:val="en-GB" w:eastAsia="en-US" w:bidi="ar-SA"/>
    </w:rPr>
  </w:style>
  <w:style w:type="character" w:customStyle="1" w:styleId="Titre2Car">
    <w:name w:val="Titre 2 Car"/>
    <w:link w:val="Titre2"/>
    <w:qFormat/>
    <w:rPr>
      <w:rFonts w:ascii="Arial" w:hAnsi="Arial"/>
      <w:sz w:val="32"/>
      <w:lang w:val="en-GB" w:eastAsia="en-US" w:bidi="ar-SA"/>
    </w:rPr>
  </w:style>
  <w:style w:type="character" w:customStyle="1" w:styleId="Titre3Car">
    <w:name w:val="Titre 3 Car"/>
    <w:link w:val="Titre3"/>
    <w:qFormat/>
    <w:rPr>
      <w:rFonts w:ascii="Arial" w:hAnsi="Arial"/>
      <w:sz w:val="28"/>
      <w:lang w:val="en-GB" w:eastAsia="en-US" w:bidi="ar-SA"/>
    </w:rPr>
  </w:style>
  <w:style w:type="character" w:customStyle="1" w:styleId="Titre4Car">
    <w:name w:val="Titre 4 Car"/>
    <w:link w:val="Titre4"/>
    <w:qFormat/>
    <w:rPr>
      <w:rFonts w:ascii="Arial" w:hAnsi="Arial"/>
      <w:sz w:val="24"/>
      <w:lang w:val="en-GB" w:eastAsia="en-US" w:bidi="ar-SA"/>
    </w:rPr>
  </w:style>
  <w:style w:type="character" w:customStyle="1" w:styleId="Titre5Car">
    <w:name w:val="Titre 5 Car"/>
    <w:link w:val="Titre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aireCar">
    <w:name w:val="Commentaire Car"/>
    <w:link w:val="Commentaire"/>
    <w:qFormat/>
    <w:rPr>
      <w:rFonts w:ascii="Times New Roman" w:hAnsi="Times New Roman"/>
      <w:lang w:val="en-GB"/>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rPr>
  </w:style>
  <w:style w:type="paragraph" w:customStyle="1" w:styleId="a1">
    <w:name w:val="样式 页眉"/>
    <w:basedOn w:val="En-tte"/>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LgendeCar">
    <w:name w:val="Légende Car"/>
    <w:aliases w:val="cap Car,cap Char Car,Caption Char1 Char Car,cap Char Char1 Car,Caption Char Char1 Char Car,cap Char2 Car,Caption Char2 Car,Caption Char Char Char Car,Caption Char Char1 Car,fig and tbl Car,fighead2 Car,Table Caption Car,fighead21 Car"/>
    <w:link w:val="Lgende"/>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En-tteCar">
    <w:name w:val="En-tête Car"/>
    <w:link w:val="En-tte"/>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orpsdetexteCar">
    <w:name w:val="Corps de texte Car"/>
    <w:link w:val="Corpsdetexte"/>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auNormal"/>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auNormal"/>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auNormal"/>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auNormal"/>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auNormal"/>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auNormal"/>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ParagraphedelisteCar">
    <w:name w:val="Paragraphe de liste Car"/>
    <w:aliases w:val="- Bullets Car,?? ?? Car,????? Car,???? Car,Lista1 Car,中等深浅网格 1 - 着色 21 Car,1st level - Bullet List Paragraph Car,Lettre d'introduction Car,Paragrafo elenco Car,Normal bullet 2 Car,Bullet list Car,Numbered List Car,Task Body Car"/>
    <w:link w:val="Paragraphedeliste"/>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Policepardfau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Corpsdetext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Corpsdetext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orpsdetexteC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Policepardfau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Rfrenceintense">
    <w:name w:val="Intense Reference"/>
    <w:basedOn w:val="Policepardfaut"/>
    <w:uiPriority w:val="32"/>
    <w:qFormat/>
    <w:rsid w:val="007152C7"/>
    <w:rPr>
      <w:b/>
      <w:bCs/>
      <w:smallCaps/>
      <w:color w:val="5B9BD5" w:themeColor="accent1"/>
      <w:spacing w:val="5"/>
    </w:rPr>
  </w:style>
  <w:style w:type="paragraph" w:styleId="Tabledesillustrations">
    <w:name w:val="table of figures"/>
    <w:basedOn w:val="Corpsdetexte"/>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NotedebasdepageCar">
    <w:name w:val="Note de bas de page Car"/>
    <w:link w:val="Notedebasdepage"/>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Policepardfau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Titre1">
    <w:name w:val="heading 1"/>
    <w:next w:val="Normal"/>
    <w:link w:val="Titre1C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Objetducommentaire">
    <w:name w:val="annotation subject"/>
    <w:basedOn w:val="Commentaire"/>
    <w:next w:val="Commentaire"/>
    <w:semiHidden/>
    <w:qFormat/>
    <w:rPr>
      <w:b/>
      <w:bCs/>
    </w:rPr>
  </w:style>
  <w:style w:type="paragraph" w:styleId="Commentaire">
    <w:name w:val="annotation text"/>
    <w:basedOn w:val="Normal"/>
    <w:link w:val="CommentaireCar"/>
    <w:qFormat/>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LgendeCar"/>
    <w:qFormat/>
    <w:pPr>
      <w:spacing w:before="120" w:after="120"/>
    </w:pPr>
    <w:rPr>
      <w:b/>
      <w:bCs/>
    </w:rPr>
  </w:style>
  <w:style w:type="paragraph" w:styleId="Explorateurdedocuments">
    <w:name w:val="Document Map"/>
    <w:basedOn w:val="Normal"/>
    <w:semiHidden/>
    <w:qFormat/>
    <w:pPr>
      <w:shd w:val="clear" w:color="auto" w:fill="000080"/>
    </w:pPr>
    <w:rPr>
      <w:rFonts w:ascii="Tahoma" w:hAnsi="Tahoma"/>
    </w:rPr>
  </w:style>
  <w:style w:type="paragraph" w:styleId="Corpsdetexte3">
    <w:name w:val="Body Text 3"/>
    <w:basedOn w:val="Normal"/>
    <w:qFormat/>
    <w:rPr>
      <w:i/>
    </w:rPr>
  </w:style>
  <w:style w:type="paragraph" w:styleId="Corpsdetexte">
    <w:name w:val="Body Text"/>
    <w:basedOn w:val="Normal"/>
    <w:link w:val="CorpsdetexteCar"/>
    <w:qFormat/>
    <w:pPr>
      <w:spacing w:after="120"/>
      <w:jc w:val="both"/>
    </w:pPr>
    <w:rPr>
      <w:rFonts w:ascii="Times" w:hAnsi="Times"/>
      <w:szCs w:val="24"/>
      <w:lang w:val="en-US"/>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semiHidden/>
    <w:qFormat/>
    <w:rPr>
      <w:rFonts w:ascii="Tahoma" w:hAnsi="Tahoma" w:cs="Tahoma"/>
      <w:sz w:val="16"/>
      <w:szCs w:val="16"/>
    </w:rPr>
  </w:style>
  <w:style w:type="paragraph" w:styleId="Pieddepage">
    <w:name w:val="footer"/>
    <w:basedOn w:val="Normal"/>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rPr>
  </w:style>
  <w:style w:type="paragraph" w:styleId="Notedebasdepage">
    <w:name w:val="footnote text"/>
    <w:basedOn w:val="Normal"/>
    <w:link w:val="NotedebasdepageCar"/>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semiHidden/>
    <w:qFormat/>
    <w:rPr>
      <w:sz w:val="16"/>
      <w:szCs w:val="16"/>
    </w:rPr>
  </w:style>
  <w:style w:type="character" w:styleId="Appelnotedebasdep">
    <w:name w:val="footnote reference"/>
    <w:qFormat/>
    <w:rPr>
      <w:b/>
      <w:position w:val="6"/>
      <w:sz w:val="16"/>
    </w:rPr>
  </w:style>
  <w:style w:type="table" w:styleId="Grilledutableau">
    <w:name w:val="Table Grid"/>
    <w:basedOn w:val="Tableau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fonce-Accent6">
    <w:name w:val="Dark List Accent 6"/>
    <w:basedOn w:val="TableauNormal"/>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Titre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Titre1Car">
    <w:name w:val="Titre 1 Car"/>
    <w:link w:val="Titre1"/>
    <w:qFormat/>
    <w:rPr>
      <w:rFonts w:ascii="Arial" w:hAnsi="Arial"/>
      <w:sz w:val="36"/>
      <w:lang w:val="en-GB" w:eastAsia="en-US" w:bidi="ar-SA"/>
    </w:rPr>
  </w:style>
  <w:style w:type="character" w:customStyle="1" w:styleId="Titre2Car">
    <w:name w:val="Titre 2 Car"/>
    <w:link w:val="Titre2"/>
    <w:qFormat/>
    <w:rPr>
      <w:rFonts w:ascii="Arial" w:hAnsi="Arial"/>
      <w:sz w:val="32"/>
      <w:lang w:val="en-GB" w:eastAsia="en-US" w:bidi="ar-SA"/>
    </w:rPr>
  </w:style>
  <w:style w:type="character" w:customStyle="1" w:styleId="Titre3Car">
    <w:name w:val="Titre 3 Car"/>
    <w:link w:val="Titre3"/>
    <w:qFormat/>
    <w:rPr>
      <w:rFonts w:ascii="Arial" w:hAnsi="Arial"/>
      <w:sz w:val="28"/>
      <w:lang w:val="en-GB" w:eastAsia="en-US" w:bidi="ar-SA"/>
    </w:rPr>
  </w:style>
  <w:style w:type="character" w:customStyle="1" w:styleId="Titre4Car">
    <w:name w:val="Titre 4 Car"/>
    <w:link w:val="Titre4"/>
    <w:qFormat/>
    <w:rPr>
      <w:rFonts w:ascii="Arial" w:hAnsi="Arial"/>
      <w:sz w:val="24"/>
      <w:lang w:val="en-GB" w:eastAsia="en-US" w:bidi="ar-SA"/>
    </w:rPr>
  </w:style>
  <w:style w:type="character" w:customStyle="1" w:styleId="Titre5Car">
    <w:name w:val="Titre 5 Car"/>
    <w:link w:val="Titre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aireCar">
    <w:name w:val="Commentaire Car"/>
    <w:link w:val="Commentaire"/>
    <w:qFormat/>
    <w:rPr>
      <w:rFonts w:ascii="Times New Roman" w:hAnsi="Times New Roman"/>
      <w:lang w:val="en-GB"/>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rPr>
  </w:style>
  <w:style w:type="paragraph" w:customStyle="1" w:styleId="a1">
    <w:name w:val="样式 页眉"/>
    <w:basedOn w:val="En-tte"/>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LgendeCar">
    <w:name w:val="Légende Car"/>
    <w:aliases w:val="cap Car,cap Char Car,Caption Char1 Char Car,cap Char Char1 Car,Caption Char Char1 Char Car,cap Char2 Car,Caption Char2 Car,Caption Char Char Char Car,Caption Char Char1 Car,fig and tbl Car,fighead2 Car,Table Caption Car,fighead21 Car"/>
    <w:link w:val="Lgende"/>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En-tteCar">
    <w:name w:val="En-tête Car"/>
    <w:link w:val="En-tte"/>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orpsdetexteCar">
    <w:name w:val="Corps de texte Car"/>
    <w:link w:val="Corpsdetexte"/>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auNormal"/>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auNormal"/>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auNormal"/>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auNormal"/>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auNormal"/>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auNormal"/>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ParagraphedelisteCar">
    <w:name w:val="Paragraphe de liste Car"/>
    <w:aliases w:val="- Bullets Car,?? ?? Car,????? Car,???? Car,Lista1 Car,中等深浅网格 1 - 着色 21 Car,1st level - Bullet List Paragraph Car,Lettre d'introduction Car,Paragrafo elenco Car,Normal bullet 2 Car,Bullet list Car,Numbered List Car,Task Body Car"/>
    <w:link w:val="Paragraphedeliste"/>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Policepardfau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Corpsdetext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Corpsdetext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orpsdetexteC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Policepardfau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Rfrenceintense">
    <w:name w:val="Intense Reference"/>
    <w:basedOn w:val="Policepardfaut"/>
    <w:uiPriority w:val="32"/>
    <w:qFormat/>
    <w:rsid w:val="007152C7"/>
    <w:rPr>
      <w:b/>
      <w:bCs/>
      <w:smallCaps/>
      <w:color w:val="5B9BD5" w:themeColor="accent1"/>
      <w:spacing w:val="5"/>
    </w:rPr>
  </w:style>
  <w:style w:type="paragraph" w:styleId="Tabledesillustrations">
    <w:name w:val="table of figures"/>
    <w:basedOn w:val="Corpsdetexte"/>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NotedebasdepageCar">
    <w:name w:val="Note de bas de page Car"/>
    <w:link w:val="Notedebasdepage"/>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Policepardfau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package" Target="embeddings/Microsoft_Visio___22.vsdx"/><Relationship Id="rId25" Type="http://schemas.openxmlformats.org/officeDocument/2006/relationships/footer" Target="foot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44.vsdx"/><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package" Target="embeddings/Microsoft_Visio___11.vsdx"/><Relationship Id="rId23" Type="http://schemas.openxmlformats.org/officeDocument/2006/relationships/hyperlink" Target="file:///C:\Users\wanshic\OneDrive%20-%20Qualcomm\Documents\Standards\3GPP%20Standards\Meeting%20Documents\TSGR1_105\Docs\R1-2105620.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Visio___33.vsdx"/><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723.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4181C50-E6F4-4B45-A4BC-4E5A8179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33</Pages>
  <Words>13464</Words>
  <Characters>74058</Characters>
  <Application>Microsoft Office Word</Application>
  <DocSecurity>0</DocSecurity>
  <Lines>617</Lines>
  <Paragraphs>174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87348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El jaafari Mohamed</cp:lastModifiedBy>
  <cp:revision>2</cp:revision>
  <cp:lastPrinted>2011-11-09T07:49:00Z</cp:lastPrinted>
  <dcterms:created xsi:type="dcterms:W3CDTF">2021-05-20T13:53:00Z</dcterms:created>
  <dcterms:modified xsi:type="dcterms:W3CDTF">2021-05-20T13:53:00Z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