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960F" w14:textId="77777777" w:rsidR="00EA2CBE" w:rsidRDefault="00827C1F">
      <w:pPr>
        <w:pStyle w:val="a8"/>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a5"/>
              <w:numPr>
                <w:ilvl w:val="1"/>
                <w:numId w:val="5"/>
              </w:numPr>
              <w:spacing w:after="60"/>
              <w:jc w:val="left"/>
              <w:rPr>
                <w:rFonts w:cs="Arial"/>
                <w:b/>
              </w:rPr>
            </w:pPr>
            <w:r>
              <w:rPr>
                <w:rFonts w:cs="Arial"/>
              </w:rPr>
              <w:t>Reduced minimum number of Rx branches:</w:t>
            </w:r>
          </w:p>
          <w:p w14:paraId="1EFB961C" w14:textId="77777777" w:rsidR="00EA2CBE" w:rsidRDefault="00827C1F">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5"/>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5"/>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RedCapRxFLS1-v000.docx</w:t>
      </w:r>
    </w:p>
    <w:p w14:paraId="1EFB9628" w14:textId="77777777" w:rsidR="00EA2CBE" w:rsidRDefault="00827C1F">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RedCapRxFLS1-v001-CompanyA.docx</w:t>
      </w:r>
    </w:p>
    <w:p w14:paraId="1EFB9629" w14:textId="77777777" w:rsidR="00EA2CBE" w:rsidRDefault="00827C1F">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RedCapRxFLS1-v002-CompanyA-CompanyB.docx</w:t>
      </w:r>
    </w:p>
    <w:p w14:paraId="1EFB962A" w14:textId="77777777" w:rsidR="00EA2CBE" w:rsidRDefault="00827C1F">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RedCapRxFLS1-v003-CompanyB-CompanyC.docx</w:t>
      </w:r>
    </w:p>
    <w:p w14:paraId="1EFB962B" w14:textId="77777777" w:rsidR="00EA2CBE" w:rsidRDefault="00EA2CBE">
      <w:pPr>
        <w:pStyle w:val="af2"/>
        <w:jc w:val="both"/>
        <w:rPr>
          <w:rFonts w:ascii="Arial" w:eastAsia="바탕" w:hAnsi="Arial" w:cs="Times New Roman"/>
          <w:sz w:val="20"/>
          <w:szCs w:val="20"/>
          <w:lang w:val="en-US" w:eastAsia="zh-CN"/>
        </w:rPr>
      </w:pPr>
    </w:p>
    <w:p w14:paraId="1EFB962C" w14:textId="77777777" w:rsidR="00EA2CBE" w:rsidRDefault="00EA2CBE">
      <w:pPr>
        <w:pStyle w:val="af2"/>
        <w:jc w:val="both"/>
        <w:rPr>
          <w:rFonts w:ascii="Arial" w:eastAsia="바탕" w:hAnsi="Arial" w:cs="Times New Roman"/>
          <w:sz w:val="20"/>
          <w:szCs w:val="20"/>
          <w:lang w:val="en-US" w:eastAsia="zh-CN"/>
        </w:rPr>
      </w:pPr>
    </w:p>
    <w:p w14:paraId="1EFB962D" w14:textId="77777777" w:rsidR="00EA2CBE" w:rsidRDefault="00EA2CBE">
      <w:pPr>
        <w:pStyle w:val="af2"/>
        <w:jc w:val="both"/>
        <w:rPr>
          <w:rFonts w:ascii="Arial" w:eastAsia="바탕" w:hAnsi="Arial" w:cs="Times New Roman"/>
          <w:sz w:val="20"/>
          <w:szCs w:val="20"/>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af2"/>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2"/>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2"/>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2"/>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2"/>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2"/>
        <w:numPr>
          <w:ilvl w:val="0"/>
          <w:numId w:val="9"/>
        </w:numPr>
        <w:rPr>
          <w:rFonts w:ascii="Arial" w:eastAsia="바탕"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바탕" w:hAnsi="Arial" w:cs="Arial"/>
          <w:b/>
          <w:bCs/>
          <w:sz w:val="20"/>
          <w:szCs w:val="20"/>
          <w:lang w:val="en-GB" w:eastAsia="en-US"/>
        </w:rPr>
        <w:t xml:space="preserve">  </w:t>
      </w:r>
    </w:p>
    <w:p w14:paraId="1EFB9663" w14:textId="77777777" w:rsidR="00EA2CBE" w:rsidRDefault="00827C1F">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by Msg1 and/or Msg3, and MsgA (Opt.2) </w:t>
      </w:r>
    </w:p>
    <w:p w14:paraId="1EFB9664" w14:textId="77777777" w:rsidR="00EA2CBE" w:rsidRDefault="00827C1F">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1"/>
      </w:pPr>
      <w:r>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lastRenderedPageBreak/>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2"/>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2"/>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맑은 고딕"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1"/>
      </w:pPr>
      <w:r>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2"/>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lastRenderedPageBreak/>
              <w:t>The MCS tables currently defined are re-used for RedCap Ues</w:t>
            </w:r>
          </w:p>
          <w:p w14:paraId="1EFB972C"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2"/>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2"/>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2"/>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MS Mincho"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af2"/>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맑은 고딕" w:hAnsi="Arial" w:cs="Arial" w:hint="eastAsia"/>
                <w:lang w:val="en-US" w:eastAsia="ko-KR"/>
              </w:rPr>
              <w:t xml:space="preserve">Opt. </w:t>
            </w:r>
            <w:r>
              <w:rPr>
                <w:rFonts w:ascii="Arial" w:eastAsia="맑은 고딕"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lastRenderedPageBreak/>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lastRenderedPageBreak/>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2"/>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2"/>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2"/>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2"/>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lastRenderedPageBreak/>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2"/>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2"/>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2"/>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lastRenderedPageBreak/>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Cleary not i</w:t>
            </w:r>
            <w:r>
              <w:rPr>
                <w:rFonts w:ascii="Arial" w:eastAsia="맑은 고딕" w:hAnsi="Arial" w:cs="Arial"/>
                <w:lang w:val="en-US" w:eastAsia="ko-KR"/>
              </w:rPr>
              <w:t>n</w:t>
            </w:r>
            <w:r>
              <w:rPr>
                <w:rFonts w:ascii="Arial" w:eastAsia="맑은 고딕" w:hAnsi="Arial" w:cs="Arial" w:hint="eastAsia"/>
                <w:lang w:val="en-US" w:eastAsia="ko-KR"/>
              </w:rPr>
              <w:t xml:space="preserve"> the scope. </w:t>
            </w:r>
            <w:r>
              <w:rPr>
                <w:rFonts w:ascii="Arial" w:eastAsia="맑은 고딕" w:hAnsi="Arial" w:cs="Arial"/>
                <w:lang w:val="en-US" w:eastAsia="ko-KR"/>
              </w:rPr>
              <w:t xml:space="preserve">We have not recommended the DL coverage recovery in our study report. And it was not conditioned on the number of Rx branches. So, </w:t>
            </w:r>
            <w:r>
              <w:rPr>
                <w:rFonts w:ascii="Arial" w:eastAsia="맑은 고딕" w:hAnsi="Arial" w:cs="Arial"/>
                <w:lang w:val="en-US" w:eastAsia="ko-KR"/>
              </w:rPr>
              <w:t xml:space="preserve">there is </w:t>
            </w:r>
            <w:r>
              <w:rPr>
                <w:rFonts w:ascii="Arial" w:eastAsia="맑은 고딕" w:hAnsi="Arial" w:cs="Arial"/>
                <w:lang w:val="en-US" w:eastAsia="ko-KR"/>
              </w:rPr>
              <w:t>no need to comeback to this issue with the introduction of 1-Rx RedCap UEs.</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2"/>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맑은 고딕"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Pr>
          <w:rFonts w:ascii="Arial" w:eastAsia="SimSun" w:hAnsi="Arial" w:cs="Arial"/>
          <w:lang w:eastAsia="zh-CN"/>
        </w:rPr>
        <w:pgNum/>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lastRenderedPageBreak/>
        <w:t>Table</w:t>
      </w:r>
    </w:p>
    <w:tbl>
      <w:tblPr>
        <w:tblStyle w:val="a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2"/>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2"/>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2"/>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af2"/>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0" w:name="_Toc69031275"/>
            <w:r>
              <w:rPr>
                <w:rFonts w:ascii="Arial" w:eastAsia="DengXian" w:hAnsi="Arial" w:cs="Arial"/>
                <w:lang w:val="en-US" w:eastAsia="zh-CN"/>
              </w:rPr>
              <w:t>8.6.2 “RAN1 aspects for RAN2-led features for RedCap</w:t>
            </w:r>
            <w:bookmarkEnd w:id="10"/>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lastRenderedPageBreak/>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a5"/>
              <w:rPr>
                <w:iCs/>
              </w:rPr>
            </w:pPr>
            <w:r>
              <w:rPr>
                <w:rFonts w:hint="eastAsia"/>
                <w:iCs/>
              </w:rPr>
              <w:t xml:space="preserve">In the revised WID, </w:t>
            </w:r>
            <w:r>
              <w:rPr>
                <w:iCs/>
              </w:rPr>
              <w:t>the following are in the scope.</w:t>
            </w:r>
          </w:p>
          <w:p w14:paraId="1EFB9902" w14:textId="77777777" w:rsidR="00EA2CBE" w:rsidRDefault="00827C1F">
            <w:pPr>
              <w:pStyle w:val="a5"/>
              <w:numPr>
                <w:ilvl w:val="0"/>
                <w:numId w:val="5"/>
              </w:numPr>
              <w:rPr>
                <w:i/>
                <w:iCs/>
              </w:rPr>
            </w:pPr>
            <w:r>
              <w:rPr>
                <w:i/>
                <w:iCs/>
              </w:rPr>
              <w:t>A means shall be specified by which the gNB can know the number of Rx branches of the UE.</w:t>
            </w:r>
          </w:p>
          <w:p w14:paraId="1EFB9903" w14:textId="77777777" w:rsidR="00EA2CBE" w:rsidRDefault="00827C1F">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a5"/>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a5"/>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맑은 고딕"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맑은 고딕" w:hAnsi="Arial" w:cs="Arial"/>
                <w:lang w:val="en-US" w:eastAsia="ko-KR"/>
              </w:rPr>
              <w:t xml:space="preserve">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w:t>
            </w:r>
            <w:r>
              <w:rPr>
                <w:rFonts w:ascii="Arial" w:eastAsia="맑은 고딕" w:hAnsi="Arial" w:cs="Arial"/>
                <w:lang w:val="en-US" w:eastAsia="ko-KR"/>
              </w:rPr>
              <w:lastRenderedPageBreak/>
              <w:t>up with a harmonized solution for early indication for RedCap and non-RedCap UEs.</w:t>
            </w: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2"/>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lastRenderedPageBreak/>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w:t>
            </w:r>
            <w:bookmarkStart w:id="15" w:name="_GoBack"/>
            <w:bookmarkEnd w:id="15"/>
            <w:r>
              <w:rPr>
                <w:rFonts w:ascii="Arial" w:hAnsi="Arial" w:cs="Arial" w:hint="eastAsia"/>
                <w:lang w:val="en-US" w:eastAsia="ko-KR"/>
              </w:rPr>
              <w:t xml:space="preserve">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0B2121">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0B2121">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0B2121">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0B2121">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0B2121">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0B2121">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0B2121">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0B2121">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0B2121">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0B2121">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0B2121">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0B2121">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0B2121">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0B2121">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0B2121">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0B2121">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0B2121">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0B2121">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0B2121">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0B2121">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0B2121">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0B2121">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8021" w14:textId="77777777" w:rsidR="000B2121" w:rsidRDefault="000B2121" w:rsidP="00884AC0">
      <w:pPr>
        <w:spacing w:after="0"/>
      </w:pPr>
      <w:r>
        <w:separator/>
      </w:r>
    </w:p>
  </w:endnote>
  <w:endnote w:type="continuationSeparator" w:id="0">
    <w:p w14:paraId="18D748A5" w14:textId="77777777" w:rsidR="000B2121" w:rsidRDefault="000B2121"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696A" w14:textId="77777777" w:rsidR="000B2121" w:rsidRDefault="000B2121" w:rsidP="00884AC0">
      <w:pPr>
        <w:spacing w:after="0"/>
      </w:pPr>
      <w:r>
        <w:separator/>
      </w:r>
    </w:p>
  </w:footnote>
  <w:footnote w:type="continuationSeparator" w:id="0">
    <w:p w14:paraId="1A28D457" w14:textId="77777777" w:rsidR="000B2121" w:rsidRDefault="000B2121" w:rsidP="00884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basedOn w:val="a"/>
    <w:link w:val="Char2"/>
    <w:pPr>
      <w:widowControl w:val="0"/>
      <w:overflowPunct w:val="0"/>
      <w:textAlignment w:val="baseline"/>
    </w:pPr>
    <w:rPr>
      <w:rFonts w:ascii="Arial" w:hAnsi="Arial"/>
      <w:b/>
      <w:sz w:val="18"/>
      <w:lang w:eastAsia="ja-JP"/>
    </w:rPr>
  </w:style>
  <w:style w:type="paragraph" w:styleId="a9">
    <w:name w:val="List"/>
    <w:basedOn w:val="a5"/>
    <w:rPr>
      <w:rFonts w:cs="Lohit Devanagari"/>
    </w:rPr>
  </w:style>
  <w:style w:type="paragraph" w:styleId="aa">
    <w:name w:val="footnote text"/>
    <w:basedOn w:val="a"/>
    <w:link w:val="Char3"/>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SimSun" w:hAnsi="Times" w:cs="Times"/>
      <w:sz w:val="22"/>
      <w:szCs w:val="24"/>
      <w:lang w:eastAsia="ja-JP"/>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AC2202-117C-4780-8AC8-971B2C31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8552</Words>
  <Characters>48748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Jay KIM (LG Electronics)</cp:lastModifiedBy>
  <cp:revision>3</cp:revision>
  <dcterms:created xsi:type="dcterms:W3CDTF">2021-04-13T09:26:00Z</dcterms:created>
  <dcterms:modified xsi:type="dcterms:W3CDTF">2021-04-13T09:57:00Z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