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16E5F">
        <w:trPr>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16E5F" w14:paraId="4D2FFBAE"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24E5310B" w14:textId="77777777" w:rsidR="00E16E5F" w:rsidRDefault="00E16E5F">
            <w:pPr>
              <w:pStyle w:val="BodyText"/>
              <w:spacing w:after="0" w:line="240" w:lineRule="auto"/>
              <w:rPr>
                <w:rFonts w:ascii="Times New Roman" w:hAnsi="Times New Roman"/>
                <w:szCs w:val="20"/>
                <w:lang w:eastAsia="zh-CN"/>
              </w:rPr>
            </w:pPr>
          </w:p>
        </w:tc>
        <w:tc>
          <w:tcPr>
            <w:tcW w:w="8021" w:type="dxa"/>
            <w:tcBorders>
              <w:top w:val="single" w:sz="4" w:space="0" w:color="auto"/>
              <w:left w:val="single" w:sz="4" w:space="0" w:color="auto"/>
              <w:bottom w:val="single" w:sz="4" w:space="0" w:color="auto"/>
              <w:right w:val="single" w:sz="4" w:space="0" w:color="auto"/>
            </w:tcBorders>
          </w:tcPr>
          <w:p w14:paraId="079729EC" w14:textId="77777777" w:rsidR="00E16E5F" w:rsidRDefault="00E16E5F">
            <w:pPr>
              <w:pStyle w:val="BodyText"/>
              <w:spacing w:after="0" w:line="240" w:lineRule="auto"/>
              <w:rPr>
                <w:rFonts w:ascii="Times New Roman" w:hAnsi="Times New Roman"/>
                <w:szCs w:val="20"/>
                <w:lang w:eastAsia="zh-CN"/>
              </w:rPr>
            </w:pPr>
          </w:p>
        </w:tc>
      </w:tr>
      <w:tr w:rsidR="00E16E5F" w14:paraId="37BC1975"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44D71DD9" w14:textId="77777777" w:rsidR="00E16E5F" w:rsidRDefault="00E16E5F">
            <w:pPr>
              <w:pStyle w:val="BodyText"/>
              <w:spacing w:after="0" w:line="240" w:lineRule="auto"/>
              <w:rPr>
                <w:rFonts w:ascii="Times New Roman" w:hAnsi="Times New Roman"/>
                <w:szCs w:val="20"/>
                <w:lang w:eastAsia="zh-CN"/>
              </w:rPr>
            </w:pPr>
          </w:p>
        </w:tc>
        <w:tc>
          <w:tcPr>
            <w:tcW w:w="8021" w:type="dxa"/>
            <w:tcBorders>
              <w:top w:val="single" w:sz="4" w:space="0" w:color="auto"/>
              <w:left w:val="single" w:sz="4" w:space="0" w:color="auto"/>
              <w:bottom w:val="single" w:sz="4" w:space="0" w:color="auto"/>
              <w:right w:val="single" w:sz="4" w:space="0" w:color="auto"/>
            </w:tcBorders>
          </w:tcPr>
          <w:p w14:paraId="0BA0ED4B" w14:textId="77777777" w:rsidR="00E16E5F" w:rsidRDefault="00E16E5F">
            <w:pPr>
              <w:pStyle w:val="BodyText"/>
              <w:spacing w:after="0" w:line="240" w:lineRule="auto"/>
              <w:rPr>
                <w:rFonts w:ascii="Times New Roman" w:hAnsi="Times New Roman"/>
                <w:szCs w:val="20"/>
                <w:lang w:eastAsia="zh-CN"/>
              </w:rPr>
            </w:pP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lastRenderedPageBreak/>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lastRenderedPageBreak/>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lastRenderedPageBreak/>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01567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8001567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8001567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Regarding the absolute time discussion, it seems clear from the contributions that the only known feasible timeline based on real implementation is that of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N1,N2,N3 and the number of HARQ processes is coupled, and needs to be discussed at the same time. If the number of HARQ processes is not increased, and the timelines are not tightened compared to 120 kHz, clearly HARQ process starvation will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55pt" o:ole="">
                  <v:imagedata r:id="rId19" o:title=""/>
                </v:shape>
                <o:OLEObject Type="Embed" ProgID="PBrush" ShapeID="_x0000_i1028" DrawAspect="Content" ObjectID="_1680015678"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 xml:space="preserve">Observation 5: Block-PT-RS is the least scattered pattern over frequency-domain, thus captures rather local information over frequency; Block-PT-RS has </w:t>
            </w:r>
            <w:proofErr w:type="gramStart"/>
            <w:r>
              <w:rPr>
                <w:bCs/>
                <w:i/>
                <w:iCs/>
              </w:rPr>
              <w:t>less</w:t>
            </w:r>
            <w:proofErr w:type="gramEnd"/>
            <w:r>
              <w:rPr>
                <w:bCs/>
                <w:i/>
                <w:iCs/>
              </w:rPr>
              <w:t xml:space="preserve">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w:t>
      </w:r>
      <w:proofErr w:type="spellStart"/>
      <w:r>
        <w:t>ignificant</w:t>
      </w:r>
      <w:proofErr w:type="spellEnd"/>
      <w:r>
        <w:t xml:space="preserve">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w:t>
            </w: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w:t>
            </w:r>
            <w:r>
              <w:rPr>
                <w:rFonts w:ascii="Times New Roman" w:hAnsi="Times New Roman"/>
                <w:szCs w:val="20"/>
                <w:lang w:eastAsia="zh-CN"/>
              </w:rPr>
              <w:lastRenderedPageBreak/>
              <w:t xml:space="preserve">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89.95pt;height:216.6pt;mso-width-percent:0;mso-height-percent:0;mso-width-percent:0;mso-height-percent:0" o:ole="">
                  <v:imagedata r:id="rId22" o:title=""/>
                </v:shape>
                <o:OLEObject Type="Embed" ProgID="PBrush" ShapeID="_x0000_i1029" DrawAspect="Content" ObjectID="_1680015679"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6" w:name="_Ref68170168"/>
            <w:r>
              <w:t xml:space="preserve">Observation </w:t>
            </w:r>
            <w:fldSimple w:instr=" SEQ Observation \* ARABIC ">
              <w:r>
                <w:t>4</w:t>
              </w:r>
            </w:fldSimple>
            <w:r>
              <w:t>:</w:t>
            </w:r>
            <w:bookmarkEnd w:id="186"/>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8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7"/>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88"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89" w:name="_Hlk61849589"/>
            <w:bookmarkEnd w:id="188"/>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90" w:name="_Hlk61849605"/>
            <w:bookmarkEnd w:id="18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91" w:name="_Hlk61849622"/>
            <w:bookmarkEnd w:id="190"/>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3FB2700A" w14:textId="77777777" w:rsidR="00183434" w:rsidRDefault="00993DCC">
            <w:pPr>
              <w:pStyle w:val="Caption"/>
              <w:rPr>
                <w:b w:val="0"/>
                <w:bCs w:val="0"/>
                <w:i/>
                <w:iCs/>
              </w:rPr>
            </w:pPr>
            <w:bookmarkStart w:id="192" w:name="_Hlk61849637"/>
            <w:bookmarkEnd w:id="191"/>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3" w:name="_Hlk61849651"/>
            <w:bookmarkEnd w:id="19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4" w:name="_Hlk61849660"/>
            <w:bookmarkEnd w:id="193"/>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5" w:name="_Hlk61849668"/>
            <w:bookmarkStart w:id="196" w:name="_Hlk68078285"/>
            <w:bookmarkEnd w:id="194"/>
            <w:r>
              <w:rPr>
                <w:b w:val="0"/>
                <w:i/>
                <w:iCs/>
              </w:rPr>
              <w:t>Observation 25: It is not feasible to introduce new DMRS type for PUSCH/PDSCH in Rel-17 for above 52.6 GHz.</w:t>
            </w:r>
            <w:bookmarkEnd w:id="195"/>
          </w:p>
          <w:p w14:paraId="2856BDF8" w14:textId="77777777" w:rsidR="00183434" w:rsidRDefault="00993DCC">
            <w:pPr>
              <w:pStyle w:val="Caption"/>
              <w:rPr>
                <w:b w:val="0"/>
                <w:i/>
                <w:iCs/>
              </w:rPr>
            </w:pPr>
            <w:bookmarkStart w:id="197" w:name="_Hlk61849698"/>
            <w:bookmarkStart w:id="198" w:name="_Hlk66733819"/>
            <w:bookmarkEnd w:id="196"/>
            <w:r>
              <w:rPr>
                <w:b w:val="0"/>
                <w:i/>
                <w:iCs/>
              </w:rPr>
              <w:t>Proposal 21:</w:t>
            </w:r>
            <w:r>
              <w:rPr>
                <w:b w:val="0"/>
              </w:rPr>
              <w:t xml:space="preserve"> </w:t>
            </w:r>
            <w:r>
              <w:rPr>
                <w:b w:val="0"/>
                <w:i/>
                <w:iCs/>
              </w:rPr>
              <w:t>No additional DMRS pattern is supported in Rel-17 for above 52.6 GHz.</w:t>
            </w:r>
            <w:bookmarkEnd w:id="197"/>
          </w:p>
          <w:p w14:paraId="22C28D04" w14:textId="77777777" w:rsidR="00183434" w:rsidRDefault="00993DCC">
            <w:pPr>
              <w:pStyle w:val="Caption"/>
              <w:rPr>
                <w:b w:val="0"/>
                <w:bCs w:val="0"/>
                <w:i/>
                <w:iCs/>
              </w:rPr>
            </w:pPr>
            <w:bookmarkStart w:id="199" w:name="_Hlk68078661"/>
            <w:bookmarkEnd w:id="198"/>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9"/>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20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203" w:name="o8to9"/>
            <w:bookmarkEnd w:id="20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4" w:name="p5"/>
            <w:bookmarkEnd w:id="20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5" w:name="p6"/>
            <w:bookmarkEnd w:id="20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5"/>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206"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7" w:name="_Hlk68605497"/>
            <w:bookmarkEnd w:id="206"/>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8" w:name="_Hlk68605503"/>
            <w:bookmarkEnd w:id="207"/>
            <w:r>
              <w:rPr>
                <w:i/>
                <w:iCs/>
              </w:rPr>
              <w:t>Proposal 2:</w:t>
            </w:r>
            <w:r>
              <w:rPr>
                <w:bCs/>
                <w:i/>
                <w:iCs/>
              </w:rPr>
              <w:t xml:space="preserve"> Support the updated antenna port(s) indication table for enhanced density DM-RS. </w:t>
            </w:r>
          </w:p>
          <w:bookmarkEnd w:id="208"/>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446F10" w14:paraId="29E4774D" w14:textId="77777777" w:rsidTr="00E16E5F">
        <w:trPr>
          <w:trHeight w:val="339"/>
        </w:trPr>
        <w:tc>
          <w:tcPr>
            <w:tcW w:w="1871" w:type="dxa"/>
          </w:tcPr>
          <w:p w14:paraId="47D070C8"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22838079" w14:textId="77777777" w:rsidR="00446F10" w:rsidRDefault="00446F10" w:rsidP="00E16E5F">
            <w:pPr>
              <w:pStyle w:val="BodyText"/>
              <w:spacing w:before="0" w:after="0" w:line="240" w:lineRule="auto"/>
              <w:rPr>
                <w:rFonts w:ascii="Times New Roman" w:hAnsi="Times New Roman"/>
                <w:szCs w:val="20"/>
                <w:lang w:eastAsia="zh-CN"/>
              </w:rPr>
            </w:pP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lastRenderedPageBreak/>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DD5198" w14:paraId="405B563C" w14:textId="77777777" w:rsidTr="00E16E5F">
        <w:trPr>
          <w:trHeight w:val="339"/>
        </w:trPr>
        <w:tc>
          <w:tcPr>
            <w:tcW w:w="1871" w:type="dxa"/>
          </w:tcPr>
          <w:p w14:paraId="20C9B642" w14:textId="77777777" w:rsidR="00DD5198" w:rsidRDefault="00DD5198" w:rsidP="00DD5198">
            <w:pPr>
              <w:pStyle w:val="BodyText"/>
              <w:spacing w:before="0" w:after="0" w:line="240" w:lineRule="auto"/>
              <w:rPr>
                <w:rFonts w:ascii="Times New Roman" w:hAnsi="Times New Roman"/>
                <w:szCs w:val="20"/>
                <w:lang w:eastAsia="zh-CN"/>
              </w:rPr>
            </w:pPr>
          </w:p>
        </w:tc>
        <w:tc>
          <w:tcPr>
            <w:tcW w:w="8021" w:type="dxa"/>
          </w:tcPr>
          <w:p w14:paraId="7561B4A0" w14:textId="77777777" w:rsidR="00DD5198" w:rsidRDefault="00DD5198" w:rsidP="00DD5198">
            <w:pPr>
              <w:pStyle w:val="BodyText"/>
              <w:spacing w:before="0" w:after="0" w:line="240" w:lineRule="auto"/>
              <w:rPr>
                <w:rFonts w:ascii="Times New Roman" w:hAnsi="Times New Roman"/>
                <w:szCs w:val="20"/>
                <w:lang w:eastAsia="zh-CN"/>
              </w:rPr>
            </w:pP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lastRenderedPageBreak/>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w:t>
            </w:r>
            <w:r>
              <w:rPr>
                <w:rFonts w:ascii="Times New Roman" w:eastAsia="MS PMincho" w:hAnsi="Times New Roman"/>
                <w:szCs w:val="20"/>
                <w:lang w:eastAsia="zh-CN"/>
              </w:rPr>
              <w:lastRenderedPageBreak/>
              <w:t>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Futurewei] observed inherent interplays between CE and PN-induced ICI for beyond 52.6GHz such as ICI can lead to CE accuracy degradation for reduction of SNR; ICI is changing symbol-wise, which may lead to phase incoherence between DMRS pilots and </w:t>
      </w:r>
      <w:proofErr w:type="gramStart"/>
      <w:r>
        <w:t>etc..</w:t>
      </w:r>
      <w:proofErr w:type="gramEnd"/>
      <w:r>
        <w:t xml:space="preserve">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30371D">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30371D">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30371D">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30371D">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30371D">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30371D">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30371D">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30371D">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30371D">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30371D">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30371D">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30371D">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30371D">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30371D">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30371D">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30371D">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30371D">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30371D">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30371D">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30371D">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30371D">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30371D">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30371D">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30371D">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30371D">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30371D">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30371D">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30371D">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37F5" w14:textId="77777777" w:rsidR="0030371D" w:rsidRDefault="0030371D">
      <w:pPr>
        <w:spacing w:after="0" w:line="240" w:lineRule="auto"/>
      </w:pPr>
      <w:r>
        <w:separator/>
      </w:r>
    </w:p>
  </w:endnote>
  <w:endnote w:type="continuationSeparator" w:id="0">
    <w:p w14:paraId="112C2EAF" w14:textId="77777777" w:rsidR="0030371D" w:rsidRDefault="0030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4D105F" w:rsidRDefault="004D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4D105F" w:rsidRDefault="004D1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72312D5" w:rsidR="004D105F" w:rsidRDefault="004D105F">
    <w:pPr>
      <w:pStyle w:val="Footer"/>
      <w:ind w:right="360"/>
    </w:pPr>
    <w:r>
      <w:rPr>
        <w:rStyle w:val="PageNumber"/>
      </w:rPr>
      <w:fldChar w:fldCharType="begin"/>
    </w:r>
    <w:r>
      <w:rPr>
        <w:rStyle w:val="PageNumber"/>
      </w:rPr>
      <w:instrText xml:space="preserve"> PAGE </w:instrText>
    </w:r>
    <w:r>
      <w:rPr>
        <w:rStyle w:val="PageNumber"/>
      </w:rPr>
      <w:fldChar w:fldCharType="separate"/>
    </w:r>
    <w:r w:rsidR="00EF0DB5">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DB5">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E5AC6" w14:textId="77777777" w:rsidR="0030371D" w:rsidRDefault="0030371D">
      <w:pPr>
        <w:spacing w:after="0" w:line="240" w:lineRule="auto"/>
      </w:pPr>
      <w:r>
        <w:separator/>
      </w:r>
    </w:p>
  </w:footnote>
  <w:footnote w:type="continuationSeparator" w:id="0">
    <w:p w14:paraId="6D859270" w14:textId="77777777" w:rsidR="0030371D" w:rsidRDefault="0030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A220-E435-4645-BEA4-4838677316DD}">
  <ds:schemaRefs>
    <ds:schemaRef ds:uri="http://schemas.openxmlformats.org/officeDocument/2006/bibliography"/>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2FA12049-E064-43C7-A51F-2A33875E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59</Pages>
  <Words>21271</Words>
  <Characters>134010</Characters>
  <Application>Microsoft Office Word</Application>
  <DocSecurity>0</DocSecurity>
  <Lines>1116</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ANKIT BHAMRI</cp:lastModifiedBy>
  <cp:revision>9</cp:revision>
  <cp:lastPrinted>2011-11-09T07:49:00Z</cp:lastPrinted>
  <dcterms:created xsi:type="dcterms:W3CDTF">2021-04-15T11:39:00Z</dcterms:created>
  <dcterms:modified xsi:type="dcterms:W3CDTF">2021-04-15T16:14:00Z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