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lastRenderedPageBreak/>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lastRenderedPageBreak/>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w:t>
            </w:r>
            <w:r>
              <w:rPr>
                <w:i/>
                <w:iCs/>
              </w:rPr>
              <w:lastRenderedPageBreak/>
              <w:t xml:space="preserve">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lastRenderedPageBreak/>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lastRenderedPageBreak/>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lastRenderedPageBreak/>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lastRenderedPageBreak/>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bl>
    <w:p w14:paraId="58072BB3" w14:textId="77777777"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lastRenderedPageBreak/>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lastRenderedPageBreak/>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5" o:title=""/>
                </v:shape>
                <o:OLEObject Type="Embed" ProgID="Equation.3" ShapeID="_x0000_i1025" DrawAspect="Content" ObjectID="_1679912001"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4.25pt;height:14.25pt" o:ole="">
                  <v:imagedata r:id="rId15" o:title=""/>
                </v:shape>
                <o:OLEObject Type="Embed" ProgID="Equation.3" ShapeID="_x0000_i1026" DrawAspect="Content" ObjectID="_1679912002"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4.25pt;height:14.25pt" o:ole="">
                  <v:imagedata r:id="rId15" o:title=""/>
                </v:shape>
                <o:OLEObject Type="Embed" ProgID="Equation.3" ShapeID="_x0000_i1027" DrawAspect="Content" ObjectID="_1679912003"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C7E965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8148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F237329" w14:textId="18C12F35"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Heading4"/>
        <w:numPr>
          <w:ilvl w:val="3"/>
          <w:numId w:val="20"/>
        </w:numPr>
      </w:pPr>
      <w:r>
        <w:lastRenderedPageBreak/>
        <w:t>k0, k1 and k2</w:t>
      </w:r>
    </w:p>
    <w:p w14:paraId="31603CC4" w14:textId="77777777" w:rsidR="00183434" w:rsidRDefault="00993DCC">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We agree with the proposed workplan.</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We agree with the proposed workplan.</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3A2B98A8" w14:textId="77777777">
        <w:trPr>
          <w:trHeight w:val="339"/>
        </w:trPr>
        <w:tc>
          <w:tcPr>
            <w:tcW w:w="1871" w:type="dxa"/>
          </w:tcPr>
          <w:p w14:paraId="05989C2B" w14:textId="77777777" w:rsidR="00183434" w:rsidRDefault="00183434">
            <w:pPr>
              <w:pStyle w:val="BodyText"/>
              <w:spacing w:after="0"/>
              <w:rPr>
                <w:rFonts w:ascii="Times New Roman" w:hAnsi="Times New Roman"/>
                <w:color w:val="FF0000"/>
                <w:szCs w:val="22"/>
                <w:lang w:eastAsia="zh-CN"/>
              </w:rPr>
            </w:pPr>
          </w:p>
        </w:tc>
        <w:tc>
          <w:tcPr>
            <w:tcW w:w="8021" w:type="dxa"/>
          </w:tcPr>
          <w:p w14:paraId="4AABC183" w14:textId="77777777" w:rsidR="00183434" w:rsidRDefault="00183434">
            <w:pPr>
              <w:pStyle w:val="BodyText"/>
              <w:spacing w:after="0" w:line="240" w:lineRule="auto"/>
              <w:rPr>
                <w:rFonts w:ascii="Times New Roman" w:hAnsi="Times New Roman"/>
                <w:color w:val="FF0000"/>
                <w:szCs w:val="22"/>
                <w:lang w:eastAsia="zh-CN"/>
              </w:rPr>
            </w:pPr>
          </w:p>
        </w:tc>
      </w:tr>
      <w:tr w:rsidR="00183434" w14:paraId="5CAC165B" w14:textId="77777777">
        <w:trPr>
          <w:trHeight w:val="339"/>
        </w:trPr>
        <w:tc>
          <w:tcPr>
            <w:tcW w:w="1871" w:type="dxa"/>
          </w:tcPr>
          <w:p w14:paraId="358C253F" w14:textId="77777777" w:rsidR="00183434" w:rsidRDefault="00183434">
            <w:pPr>
              <w:pStyle w:val="BodyText"/>
              <w:spacing w:after="0"/>
              <w:rPr>
                <w:rFonts w:ascii="Times New Roman" w:hAnsi="Times New Roman"/>
                <w:szCs w:val="22"/>
                <w:lang w:eastAsia="zh-CN"/>
              </w:rPr>
            </w:pPr>
          </w:p>
        </w:tc>
        <w:tc>
          <w:tcPr>
            <w:tcW w:w="8021" w:type="dxa"/>
          </w:tcPr>
          <w:p w14:paraId="5C7DAEE9" w14:textId="77777777" w:rsidR="00183434" w:rsidRDefault="00183434">
            <w:pPr>
              <w:pStyle w:val="BodyText"/>
              <w:spacing w:after="0"/>
              <w:rPr>
                <w:rFonts w:ascii="Times New Roman" w:hAnsi="Times New Roman"/>
                <w:szCs w:val="22"/>
                <w:lang w:eastAsia="zh-CN"/>
              </w:rPr>
            </w:pPr>
          </w:p>
        </w:tc>
      </w:tr>
      <w:tr w:rsidR="00183434" w14:paraId="10528B74" w14:textId="77777777">
        <w:trPr>
          <w:trHeight w:val="339"/>
        </w:trPr>
        <w:tc>
          <w:tcPr>
            <w:tcW w:w="1871" w:type="dxa"/>
          </w:tcPr>
          <w:p w14:paraId="50E2889C" w14:textId="77777777" w:rsidR="00183434" w:rsidRDefault="00183434">
            <w:pPr>
              <w:pStyle w:val="BodyText"/>
              <w:spacing w:after="0" w:line="240" w:lineRule="auto"/>
              <w:rPr>
                <w:rFonts w:ascii="Times New Roman" w:hAnsi="Times New Roman"/>
                <w:szCs w:val="22"/>
                <w:lang w:eastAsia="zh-CN"/>
              </w:rPr>
            </w:pPr>
          </w:p>
        </w:tc>
        <w:tc>
          <w:tcPr>
            <w:tcW w:w="8021" w:type="dxa"/>
          </w:tcPr>
          <w:p w14:paraId="1D9FA390" w14:textId="77777777" w:rsidR="00183434" w:rsidRDefault="00183434">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lastRenderedPageBreak/>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lastRenderedPageBreak/>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t>
            </w:r>
            <w:r>
              <w:rPr>
                <w:b w:val="0"/>
              </w:rPr>
              <w:lastRenderedPageBreak/>
              <w:t xml:space="preserve">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lastRenderedPageBreak/>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So we cannot accept the conclusion proposed in point 3-1.</w:t>
            </w:r>
          </w:p>
        </w:tc>
      </w:tr>
    </w:tbl>
    <w:p w14:paraId="1A61DD48" w14:textId="77777777" w:rsidR="00183434" w:rsidRDefault="00183434">
      <w:pPr>
        <w:pStyle w:val="BodyText"/>
        <w:spacing w:after="0"/>
        <w:ind w:left="720"/>
        <w:jc w:val="left"/>
        <w:rPr>
          <w:rFonts w:ascii="Times New Roman" w:hAnsi="Times New Roman"/>
          <w:szCs w:val="20"/>
          <w:lang w:val="en-GB"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hint="eastAsia"/>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bl>
    <w:p w14:paraId="5FFA392F" w14:textId="77777777" w:rsidR="00183434" w:rsidRDefault="00183434">
      <w:pPr>
        <w:pStyle w:val="BodyText"/>
        <w:spacing w:after="0"/>
        <w:ind w:left="720"/>
        <w:jc w:val="left"/>
        <w:rPr>
          <w:rFonts w:ascii="Times New Roman" w:hAnsi="Times New Roman"/>
          <w:szCs w:val="20"/>
          <w:lang w:val="en-GB"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bl>
    <w:p w14:paraId="594CCB43" w14:textId="77777777" w:rsidR="00183434" w:rsidRDefault="00183434">
      <w:pPr>
        <w:pStyle w:val="BodyText"/>
        <w:spacing w:after="0"/>
        <w:ind w:left="720"/>
        <w:jc w:val="left"/>
        <w:rPr>
          <w:rFonts w:ascii="Times New Roman" w:hAnsi="Times New Roman"/>
          <w:szCs w:val="20"/>
          <w:lang w:val="en-GB"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lastRenderedPageBreak/>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fldSimple w:instr=" SEQ Observation \* ARABIC ">
              <w:r>
                <w:t>4</w:t>
              </w:r>
            </w:fldSimple>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lastRenderedPageBreak/>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lastRenderedPageBreak/>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lastRenderedPageBreak/>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lastRenderedPageBreak/>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lastRenderedPageBreak/>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bl>
    <w:p w14:paraId="03AB9E70" w14:textId="77777777" w:rsidR="00183434" w:rsidRDefault="00183434">
      <w:pPr>
        <w:pStyle w:val="BodyText"/>
        <w:spacing w:after="0"/>
        <w:ind w:left="720"/>
        <w:jc w:val="left"/>
        <w:rPr>
          <w:rFonts w:ascii="Times New Roman" w:hAnsi="Times New Roman"/>
          <w:szCs w:val="20"/>
          <w:lang w:val="en-GB"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lastRenderedPageBreak/>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bl>
    <w:p w14:paraId="2494F27C" w14:textId="77777777" w:rsidR="00183434" w:rsidRDefault="00183434">
      <w:pPr>
        <w:pStyle w:val="BodyText"/>
        <w:spacing w:after="0"/>
        <w:ind w:left="720"/>
        <w:jc w:val="left"/>
        <w:rPr>
          <w:rFonts w:ascii="Times New Roman" w:hAnsi="Times New Roman"/>
          <w:szCs w:val="20"/>
          <w:lang w:val="en-GB"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lastRenderedPageBreak/>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bookmarkStart w:id="153" w:name="_GoBack"/>
            <w:bookmarkEnd w:id="153"/>
          </w:p>
        </w:tc>
      </w:tr>
    </w:tbl>
    <w:p w14:paraId="14F887FC" w14:textId="77777777" w:rsidR="00183434" w:rsidRDefault="00183434">
      <w:pPr>
        <w:pStyle w:val="BodyText"/>
        <w:spacing w:after="0"/>
        <w:ind w:left="720"/>
        <w:jc w:val="left"/>
        <w:rPr>
          <w:rFonts w:ascii="Times New Roman" w:hAnsi="Times New Roman"/>
          <w:szCs w:val="20"/>
          <w:lang w:val="en-GB"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183434" w14:paraId="3A323DA0" w14:textId="77777777">
        <w:trPr>
          <w:trHeight w:val="339"/>
        </w:trPr>
        <w:tc>
          <w:tcPr>
            <w:tcW w:w="1871" w:type="dxa"/>
          </w:tcPr>
          <w:p w14:paraId="35FFB629" w14:textId="77777777" w:rsidR="00183434" w:rsidRDefault="00183434">
            <w:pPr>
              <w:pStyle w:val="BodyText"/>
              <w:spacing w:before="0" w:after="0" w:line="240" w:lineRule="auto"/>
              <w:rPr>
                <w:rFonts w:ascii="Times New Roman" w:hAnsi="Times New Roman"/>
                <w:szCs w:val="20"/>
                <w:lang w:eastAsia="zh-CN"/>
              </w:rPr>
            </w:pPr>
          </w:p>
        </w:tc>
        <w:tc>
          <w:tcPr>
            <w:tcW w:w="8021" w:type="dxa"/>
          </w:tcPr>
          <w:p w14:paraId="2DFC1159" w14:textId="77777777" w:rsidR="00183434" w:rsidRDefault="00183434">
            <w:pPr>
              <w:pStyle w:val="BodyText"/>
              <w:spacing w:before="0" w:after="0" w:line="240" w:lineRule="auto"/>
              <w:rPr>
                <w:rFonts w:ascii="Times New Roman" w:hAnsi="Times New Roman"/>
                <w:szCs w:val="20"/>
                <w:lang w:eastAsia="zh-CN"/>
              </w:rPr>
            </w:pPr>
          </w:p>
        </w:tc>
      </w:tr>
      <w:tr w:rsidR="00183434" w14:paraId="40B78818" w14:textId="77777777">
        <w:trPr>
          <w:trHeight w:val="339"/>
        </w:trPr>
        <w:tc>
          <w:tcPr>
            <w:tcW w:w="1871" w:type="dxa"/>
          </w:tcPr>
          <w:p w14:paraId="3473091A" w14:textId="77777777" w:rsidR="00183434" w:rsidRDefault="00183434">
            <w:pPr>
              <w:pStyle w:val="BodyText"/>
              <w:spacing w:before="0" w:after="0" w:line="240" w:lineRule="auto"/>
              <w:rPr>
                <w:rFonts w:ascii="Times New Roman" w:hAnsi="Times New Roman"/>
                <w:szCs w:val="20"/>
                <w:lang w:eastAsia="zh-CN"/>
              </w:rPr>
            </w:pPr>
          </w:p>
        </w:tc>
        <w:tc>
          <w:tcPr>
            <w:tcW w:w="8021" w:type="dxa"/>
          </w:tcPr>
          <w:p w14:paraId="3C310C74" w14:textId="77777777" w:rsidR="00183434" w:rsidRDefault="0018343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FC6F95">
      <w:pPr>
        <w:pStyle w:val="ListParagraph"/>
        <w:numPr>
          <w:ilvl w:val="0"/>
          <w:numId w:val="31"/>
        </w:numPr>
        <w:ind w:left="540" w:hanging="540"/>
        <w:rPr>
          <w:rFonts w:ascii="Times New Roman" w:hAnsi="Times New Roman"/>
          <w:sz w:val="20"/>
          <w:szCs w:val="20"/>
        </w:rPr>
      </w:pPr>
      <w:hyperlink r:id="rId21"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FC6F95">
      <w:pPr>
        <w:pStyle w:val="ListParagraph"/>
        <w:numPr>
          <w:ilvl w:val="0"/>
          <w:numId w:val="31"/>
        </w:numPr>
        <w:ind w:left="540" w:hanging="540"/>
        <w:rPr>
          <w:rFonts w:ascii="Times New Roman" w:hAnsi="Times New Roman"/>
          <w:sz w:val="20"/>
          <w:szCs w:val="20"/>
        </w:rPr>
      </w:pPr>
      <w:hyperlink r:id="rId22"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FC6F95">
      <w:pPr>
        <w:pStyle w:val="ListParagraph"/>
        <w:numPr>
          <w:ilvl w:val="0"/>
          <w:numId w:val="31"/>
        </w:numPr>
        <w:ind w:left="540" w:hanging="540"/>
        <w:rPr>
          <w:rFonts w:ascii="Times New Roman" w:hAnsi="Times New Roman"/>
          <w:sz w:val="20"/>
          <w:szCs w:val="20"/>
        </w:rPr>
      </w:pPr>
      <w:hyperlink r:id="rId23"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FC6F95">
      <w:pPr>
        <w:pStyle w:val="ListParagraph"/>
        <w:numPr>
          <w:ilvl w:val="0"/>
          <w:numId w:val="31"/>
        </w:numPr>
        <w:ind w:left="540" w:hanging="540"/>
        <w:rPr>
          <w:rFonts w:ascii="Times New Roman" w:hAnsi="Times New Roman"/>
          <w:sz w:val="20"/>
          <w:szCs w:val="20"/>
        </w:rPr>
      </w:pPr>
      <w:hyperlink r:id="rId24"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FC6F95">
      <w:pPr>
        <w:pStyle w:val="ListParagraph"/>
        <w:numPr>
          <w:ilvl w:val="0"/>
          <w:numId w:val="31"/>
        </w:numPr>
        <w:ind w:left="540" w:hanging="540"/>
        <w:rPr>
          <w:rFonts w:ascii="Times New Roman" w:hAnsi="Times New Roman"/>
          <w:sz w:val="20"/>
          <w:szCs w:val="20"/>
        </w:rPr>
      </w:pPr>
      <w:hyperlink r:id="rId25"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FC6F95">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FC6F95">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FC6F95">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FC6F95">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FC6F95">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FC6F95">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FC6F95">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FC6F95">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FC6F95">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FC6F95">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FC6F95">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FC6F95">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FC6F95">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FC6F95">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FC6F95">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FC6F95">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FC6F95">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FC6F95">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FC6F95">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FC6F95">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FC6F95">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FC6F95">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FC6F95">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49"/>
      <w:headerReference w:type="default" r:id="rId50"/>
      <w:footerReference w:type="even" r:id="rId51"/>
      <w:footerReference w:type="default" r:id="rId52"/>
      <w:headerReference w:type="first" r:id="rId53"/>
      <w:footerReference w:type="firs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61C4A" w14:textId="77777777" w:rsidR="00FC6F95" w:rsidRDefault="00FC6F95">
      <w:pPr>
        <w:spacing w:after="0" w:line="240" w:lineRule="auto"/>
      </w:pPr>
      <w:r>
        <w:separator/>
      </w:r>
    </w:p>
  </w:endnote>
  <w:endnote w:type="continuationSeparator" w:id="0">
    <w:p w14:paraId="1F2A8F66" w14:textId="77777777" w:rsidR="00FC6F95" w:rsidRDefault="00FC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default"/>
    <w:sig w:usb0="E00002FF" w:usb1="6AC7FDFB" w:usb2="00000012" w:usb3="00000000" w:csb0="4002009F" w:csb1="DFD7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E8BB" w14:textId="77777777" w:rsidR="00183434" w:rsidRDefault="00993D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183434" w:rsidRDefault="001834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6C1B" w14:textId="77777777" w:rsidR="00183434" w:rsidRDefault="00993DCC">
    <w:pPr>
      <w:pStyle w:val="Footer"/>
      <w:ind w:right="360"/>
    </w:pPr>
    <w:r>
      <w:rPr>
        <w:rStyle w:val="PageNumber"/>
      </w:rPr>
      <w:fldChar w:fldCharType="begin"/>
    </w:r>
    <w:r>
      <w:rPr>
        <w:rStyle w:val="PageNumber"/>
      </w:rPr>
      <w:instrText xml:space="preserve"> PAGE </w:instrText>
    </w:r>
    <w:r>
      <w:rPr>
        <w:rStyle w:val="PageNumber"/>
      </w:rPr>
      <w:fldChar w:fldCharType="separate"/>
    </w:r>
    <w:r w:rsidR="00022550">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2550">
      <w:rPr>
        <w:rStyle w:val="PageNumber"/>
        <w:noProof/>
      </w:rPr>
      <w:t>43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CB30" w14:textId="77777777" w:rsidR="00053612" w:rsidRDefault="00053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7DA27" w14:textId="77777777" w:rsidR="00FC6F95" w:rsidRDefault="00FC6F95">
      <w:pPr>
        <w:spacing w:after="0" w:line="240" w:lineRule="auto"/>
      </w:pPr>
      <w:r>
        <w:separator/>
      </w:r>
    </w:p>
  </w:footnote>
  <w:footnote w:type="continuationSeparator" w:id="0">
    <w:p w14:paraId="18DCACDC" w14:textId="77777777" w:rsidR="00FC6F95" w:rsidRDefault="00FC6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3C3B" w14:textId="77777777" w:rsidR="00183434" w:rsidRDefault="00993DC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868D8" w14:textId="77777777" w:rsidR="00053612" w:rsidRDefault="000536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7189" w14:textId="77777777" w:rsidR="00053612" w:rsidRDefault="000536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1"/>
  </w:num>
  <w:num w:numId="7">
    <w:abstractNumId w:val="10"/>
  </w:num>
  <w:num w:numId="8">
    <w:abstractNumId w:val="18"/>
  </w:num>
  <w:num w:numId="9">
    <w:abstractNumId w:val="20"/>
  </w:num>
  <w:num w:numId="10">
    <w:abstractNumId w:val="12"/>
  </w:num>
  <w:num w:numId="11">
    <w:abstractNumId w:val="24"/>
  </w:num>
  <w:num w:numId="12">
    <w:abstractNumId w:val="11"/>
  </w:num>
  <w:num w:numId="13">
    <w:abstractNumId w:val="25"/>
  </w:num>
  <w:num w:numId="14">
    <w:abstractNumId w:val="8"/>
  </w:num>
  <w:num w:numId="15">
    <w:abstractNumId w:val="19"/>
  </w:num>
  <w:num w:numId="16">
    <w:abstractNumId w:val="13"/>
  </w:num>
  <w:num w:numId="17">
    <w:abstractNumId w:val="23"/>
  </w:num>
  <w:num w:numId="18">
    <w:abstractNumId w:val="7"/>
  </w:num>
  <w:num w:numId="19">
    <w:abstractNumId w:val="4"/>
  </w:num>
  <w:num w:numId="20">
    <w:abstractNumId w:val="17"/>
  </w:num>
  <w:num w:numId="21">
    <w:abstractNumId w:val="28"/>
  </w:num>
  <w:num w:numId="22">
    <w:abstractNumId w:val="27"/>
  </w:num>
  <w:num w:numId="23">
    <w:abstractNumId w:val="14"/>
  </w:num>
  <w:num w:numId="24">
    <w:abstractNumId w:val="3"/>
  </w:num>
  <w:num w:numId="25">
    <w:abstractNumId w:val="6"/>
  </w:num>
  <w:num w:numId="26">
    <w:abstractNumId w:val="16"/>
  </w:num>
  <w:num w:numId="27">
    <w:abstractNumId w:val="1"/>
  </w:num>
  <w:num w:numId="28">
    <w:abstractNumId w:val="15"/>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3DCC"/>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569.zip" TargetMode="External"/><Relationship Id="rId39" Type="http://schemas.openxmlformats.org/officeDocument/2006/relationships/hyperlink" Target="https://www.3gpp.org/ftp/tsg_ran/WG1_RL1/TSGR1_104b-e/Docs/R1-2103343.zip" TargetMode="External"/><Relationship Id="rId21" Type="http://schemas.openxmlformats.org/officeDocument/2006/relationships/hyperlink" Target="https://www.3gpp.org/ftp/tsg_ran/WG1_RL1/TSGR1_104b-e/Docs/R1-2102331.zip" TargetMode="External"/><Relationship Id="rId34" Type="http://schemas.openxmlformats.org/officeDocument/2006/relationships/hyperlink" Target="https://www.3gpp.org/ftp/tsg_ran/WG1_RL1/TSGR1_104b-e/Docs/R1-2103025.zip" TargetMode="External"/><Relationship Id="rId42" Type="http://schemas.openxmlformats.org/officeDocument/2006/relationships/hyperlink" Target="https://www.3gpp.org/ftp/tsg_ran/WG1_RL1/TSGR1_104b-e/Docs/R1-2103452.zip" TargetMode="External"/><Relationship Id="rId47" Type="http://schemas.openxmlformats.org/officeDocument/2006/relationships/hyperlink" Target="https://www.3gpp.org/ftp/tsg_ran/WG1_RL1/TSGR1_104b-e/Docs/R1-2103693.zi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776.zip" TargetMode="External"/><Relationship Id="rId11" Type="http://schemas.openxmlformats.org/officeDocument/2006/relationships/webSettings" Target="webSettings.xml"/><Relationship Id="rId24" Type="http://schemas.openxmlformats.org/officeDocument/2006/relationships/hyperlink" Target="https://www.3gpp.org/ftp/tsg_ran/WG1_RL1/TSGR1_104b-e/Docs/R1-2102518.zip" TargetMode="External"/><Relationship Id="rId32" Type="http://schemas.openxmlformats.org/officeDocument/2006/relationships/hyperlink" Target="https://www.3gpp.org/ftp/tsg_ran/WG1_RL1/TSGR1_104b-e/Docs/R1-2103000.zip" TargetMode="External"/><Relationship Id="rId37" Type="http://schemas.openxmlformats.org/officeDocument/2006/relationships/hyperlink" Target="https://www.3gpp.org/ftp/tsg_ran/WG1_RL1/TSGR1_104b-e/Docs/R1-2103233.zip" TargetMode="External"/><Relationship Id="rId40" Type="http://schemas.openxmlformats.org/officeDocument/2006/relationships/hyperlink" Target="https://www.3gpp.org/ftp/tsg_ran/WG1_RL1/TSGR1_104b-e/Docs/R1-2103407.zip" TargetMode="External"/><Relationship Id="rId45" Type="http://schemas.openxmlformats.org/officeDocument/2006/relationships/hyperlink" Target="https://www.3gpp.org/ftp/tsg_ran/WG1_RL1/TSGR1_104b-e/Docs/R1-2103513.zip" TargetMode="External"/><Relationship Id="rId53" Type="http://schemas.openxmlformats.org/officeDocument/2006/relationships/header" Target="header3.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4b-e/Docs/R1-2102389.zip" TargetMode="External"/><Relationship Id="rId27" Type="http://schemas.openxmlformats.org/officeDocument/2006/relationships/hyperlink" Target="https://www.3gpp.org/ftp/tsg_ran/WG1_RL1/TSGR1_104b-e/Docs/R1-2102625.zip" TargetMode="External"/><Relationship Id="rId30" Type="http://schemas.openxmlformats.org/officeDocument/2006/relationships/hyperlink" Target="https://www.3gpp.org/ftp/tsg_ran/WG1_RL1/TSGR1_104b-e/Docs/R1-2102792.zip" TargetMode="External"/><Relationship Id="rId35" Type="http://schemas.openxmlformats.org/officeDocument/2006/relationships/hyperlink" Target="https://www.3gpp.org/ftp/tsg_ran/WG1_RL1/TSGR1_104b-e/Docs/R1-2103100.zip" TargetMode="External"/><Relationship Id="rId43" Type="http://schemas.openxmlformats.org/officeDocument/2006/relationships/hyperlink" Target="https://www.3gpp.org/ftp/tsg_ran/WG1_RL1/TSGR1_104b-e/Docs/R1-2103463.zip" TargetMode="External"/><Relationship Id="rId48" Type="http://schemas.openxmlformats.org/officeDocument/2006/relationships/hyperlink" Target="https://www.3gpp.org/ftp/tsg_ran/WG1_RL1/TSGR1_104b-e/Docs/R1-2103726.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562.zip" TargetMode="External"/><Relationship Id="rId33" Type="http://schemas.openxmlformats.org/officeDocument/2006/relationships/hyperlink" Target="https://www.3gpp.org/ftp/tsg_ran/WG1_RL1/TSGR1_104b-e/Docs/R1-2103012.zip" TargetMode="External"/><Relationship Id="rId38" Type="http://schemas.openxmlformats.org/officeDocument/2006/relationships/hyperlink" Target="https://www.3gpp.org/ftp/tsg_ran/WG1_RL1/TSGR1_104b-e/Docs/R1-2103298.zip" TargetMode="External"/><Relationship Id="rId46" Type="http://schemas.openxmlformats.org/officeDocument/2006/relationships/hyperlink" Target="https://www.3gpp.org/ftp/tsg_ran/WG1_RL1/TSGR1_104b-e/Docs/R1-2103571.zip" TargetMode="External"/><Relationship Id="rId20" Type="http://schemas.openxmlformats.org/officeDocument/2006/relationships/image" Target="media/image4.png"/><Relationship Id="rId41" Type="http://schemas.openxmlformats.org/officeDocument/2006/relationships/hyperlink" Target="https://www.3gpp.org/ftp/tsg_ran/WG1_RL1/TSGR1_104b-e/Docs/R1-2103414.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hyperlink" Target="https://www.3gpp.org/ftp/tsg_ran/WG1_RL1/TSGR1_104b-e/Docs/R1-2102452.zip" TargetMode="External"/><Relationship Id="rId28" Type="http://schemas.openxmlformats.org/officeDocument/2006/relationships/hyperlink" Target="https://www.3gpp.org/ftp/tsg_ran/WG1_RL1/TSGR1_104b-e/Docs/R1-2102716.zip" TargetMode="External"/><Relationship Id="rId36" Type="http://schemas.openxmlformats.org/officeDocument/2006/relationships/hyperlink" Target="https://www.3gpp.org/ftp/tsg_ran/WG1_RL1/TSGR1_104b-e/Docs/R1-2103161.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1_RL1/TSGR1_104b-e/Docs/R1-2102980.zip" TargetMode="External"/><Relationship Id="rId44" Type="http://schemas.openxmlformats.org/officeDocument/2006/relationships/hyperlink" Target="https://www.3gpp.org/ftp/tsg_ran/WG1_RL1/TSGR1_104b-e/Docs/R1-2103491.zip" TargetMode="External"/><Relationship Id="rId5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default"/>
    <w:sig w:usb0="E00002FF" w:usb1="6AC7FDFB" w:usb2="00000012" w:usb3="00000000" w:csb0="4002009F" w:csb1="DFD7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444BE"/>
    <w:rsid w:val="00D57D5D"/>
    <w:rsid w:val="00D77B7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72DCAF-A473-4768-8324-40AF99885B98}">
  <ds:schemaRefs>
    <ds:schemaRef ds:uri="http://schemas.openxmlformats.org/officeDocument/2006/bibliography"/>
  </ds:schemaRefs>
</ds:datastoreItem>
</file>

<file path=customXml/itemProps7.xml><?xml version="1.0" encoding="utf-8"?>
<ds:datastoreItem xmlns:ds="http://schemas.openxmlformats.org/officeDocument/2006/customXml" ds:itemID="{82FBC3C6-0301-4F67-8E1E-471FEBEE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43</Pages>
  <Words>16575</Words>
  <Characters>94482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Discussion summary #1 of [104b-e-NR-52-71GHz-05]</vt:lpstr>
    </vt:vector>
  </TitlesOfParts>
  <Company>Intel</Company>
  <LinksUpToDate>false</LinksUpToDate>
  <CharactersWithSpaces>110836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David mazzarese</cp:lastModifiedBy>
  <cp:revision>3</cp:revision>
  <cp:lastPrinted>2011-11-09T07:49:00Z</cp:lastPrinted>
  <dcterms:created xsi:type="dcterms:W3CDTF">2021-04-14T05:24:00Z</dcterms:created>
  <dcterms:modified xsi:type="dcterms:W3CDTF">2021-04-14T05:27:00Z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