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TW"/>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MS Mincho" w:hAnsi="Times New Roman" w:hint="eastAsia"/>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MS Mincho" w:hAnsi="Times New Roman"/>
                <w:sz w:val="22"/>
                <w:szCs w:val="22"/>
                <w:lang w:eastAsia="ja-JP"/>
              </w:rPr>
            </w:pPr>
          </w:p>
        </w:tc>
      </w:tr>
    </w:tbl>
    <w:p w14:paraId="35FF261B" w14:textId="77777777" w:rsidR="00B94E2A"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c"/>
        <w:spacing w:after="0"/>
        <w:rPr>
          <w:rFonts w:ascii="Times New Roman" w:hAnsi="Times New Roman"/>
          <w:sz w:val="22"/>
          <w:szCs w:val="22"/>
          <w:lang w:eastAsia="zh-CN"/>
        </w:rPr>
      </w:pPr>
    </w:p>
    <w:p w14:paraId="11844532" w14:textId="77777777" w:rsidR="00B94E2A" w:rsidRDefault="00B94E2A">
      <w:pPr>
        <w:pStyle w:val="ac"/>
        <w:spacing w:after="0"/>
        <w:rPr>
          <w:rFonts w:ascii="Times New Roman" w:hAnsi="Times New Roman"/>
          <w:sz w:val="22"/>
          <w:szCs w:val="22"/>
          <w:lang w:eastAsia="zh-CN"/>
        </w:rPr>
      </w:pPr>
    </w:p>
    <w:p w14:paraId="1A5F48DD" w14:textId="77777777" w:rsidR="00B94E2A" w:rsidRDefault="00B94E2A">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with values {0.5ms, 1ms, 2ms, 2.5ms, 3ms, 4ms, 5ms} is supported in shared spectrum in 52.6GHz to 71GHz and is configured in ServingCellConfigCommonSIB.</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c"/>
        <w:spacing w:after="0"/>
        <w:rPr>
          <w:rFonts w:ascii="Times New Roman" w:hAnsi="Times New Roman"/>
          <w:sz w:val="22"/>
          <w:szCs w:val="22"/>
          <w:lang w:eastAsia="zh-CN"/>
        </w:rPr>
      </w:pPr>
    </w:p>
    <w:p w14:paraId="5E9A9819"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c"/>
        <w:spacing w:after="0"/>
        <w:rPr>
          <w:rFonts w:ascii="Times New Roman" w:hAnsi="Times New Roman"/>
          <w:sz w:val="22"/>
          <w:szCs w:val="22"/>
          <w:lang w:eastAsia="zh-CN"/>
        </w:rPr>
      </w:pP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 xml:space="preserve">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w:t>
            </w:r>
            <w:r>
              <w:rPr>
                <w:sz w:val="22"/>
                <w:szCs w:val="22"/>
                <w:lang w:eastAsia="zh-CN"/>
              </w:rPr>
              <w:lastRenderedPageBreak/>
              <w:t>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MS Mincho" w:hAnsi="Times New Roman" w:hint="eastAsia"/>
                <w:sz w:val="22"/>
                <w:szCs w:val="22"/>
                <w:lang w:eastAsia="ja-JP"/>
              </w:rPr>
            </w:pPr>
            <w:r>
              <w:rPr>
                <w:rFonts w:ascii="Times New Roman" w:hAnsi="Times New Roman"/>
                <w:sz w:val="22"/>
                <w:szCs w:val="22"/>
                <w:lang w:eastAsia="zh-CN"/>
              </w:rPr>
              <w:t>Mediatek</w:t>
            </w:r>
          </w:p>
        </w:tc>
        <w:tc>
          <w:tcPr>
            <w:tcW w:w="8157" w:type="dxa"/>
          </w:tcPr>
          <w:p w14:paraId="26DBD2CD" w14:textId="6ABFC84B" w:rsidR="00614254" w:rsidRDefault="00614254" w:rsidP="00614254">
            <w:pPr>
              <w:pStyle w:val="ac"/>
              <w:spacing w:after="0"/>
              <w:rPr>
                <w:rFonts w:ascii="Times New Roman" w:eastAsia="MS Mincho" w:hAnsi="Times New Roman" w:hint="eastAsia"/>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bl>
    <w:p w14:paraId="087BF49C" w14:textId="77777777" w:rsidR="00B94E2A"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2"/>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2"/>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2"/>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2"/>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2"/>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2"/>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f2"/>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2"/>
        <w:numPr>
          <w:ilvl w:val="1"/>
          <w:numId w:val="7"/>
        </w:numPr>
        <w:spacing w:line="240" w:lineRule="auto"/>
        <w:contextualSpacing/>
      </w:pPr>
      <w:r>
        <w:t>Support new SS/PBCH block patterns for 480 kHz and 960 kHz SCSs.</w:t>
      </w:r>
    </w:p>
    <w:p w14:paraId="45525EE5" w14:textId="77777777" w:rsidR="00B94E2A" w:rsidRDefault="002127BF">
      <w:pPr>
        <w:pStyle w:val="aff2"/>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2"/>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2"/>
        <w:numPr>
          <w:ilvl w:val="2"/>
          <w:numId w:val="7"/>
        </w:numPr>
        <w:spacing w:line="240" w:lineRule="auto"/>
        <w:contextualSpacing/>
      </w:pPr>
      <w:r>
        <w:t>SS/PBCH block candidate locations in a slot for Case A can be reused.</w:t>
      </w:r>
    </w:p>
    <w:p w14:paraId="6B74F389"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2"/>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52F96908"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lastRenderedPageBreak/>
        <w:t>Moderator will provide a suggested proposal based on feedback by UTC 03:00am April 14.</w:t>
      </w:r>
    </w:p>
    <w:p w14:paraId="453F44A1"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beam switching gaps (may be wait for RAN4 feedback on timing)</w:t>
            </w:r>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Huawei/HiSilicon</w:t>
            </w:r>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MS Mincho" w:hAnsi="Times New Roman" w:hint="eastAsia"/>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c"/>
              <w:spacing w:after="0"/>
              <w:rPr>
                <w:rFonts w:ascii="Times New Roman" w:eastAsia="MS Mincho" w:hAnsi="Times New Roman"/>
                <w:sz w:val="22"/>
                <w:szCs w:val="22"/>
                <w:lang w:eastAsia="ja-JP"/>
              </w:rPr>
            </w:pPr>
            <w:r>
              <w:rPr>
                <w:sz w:val="22"/>
                <w:szCs w:val="22"/>
                <w:lang w:eastAsia="zh-CN"/>
              </w:rPr>
              <w:t>Agree with Qualcomm and Nokia</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c"/>
        <w:spacing w:after="0"/>
        <w:rPr>
          <w:rFonts w:ascii="Times New Roman" w:hAnsi="Times New Roman"/>
          <w:sz w:val="22"/>
          <w:szCs w:val="22"/>
          <w:lang w:eastAsia="zh-CN"/>
        </w:rPr>
      </w:pPr>
    </w:p>
    <w:p w14:paraId="506629D9" w14:textId="77777777" w:rsidR="00B94E2A" w:rsidRDefault="00B94E2A">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N_{RB}^{CORESET}={96}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w:t>
            </w:r>
            <w:r>
              <w:rPr>
                <w:rFonts w:ascii="Times New Roman" w:eastAsia="MS Mincho" w:hAnsi="Times New Roman"/>
                <w:sz w:val="22"/>
                <w:szCs w:val="22"/>
                <w:lang w:eastAsia="ja-JP"/>
              </w:rPr>
              <w:lastRenderedPageBreak/>
              <w:t xml:space="preserve">minimum channel bandwidth is fully up to RAN4 now, we believe Type0-PDCCH configuration should be discussed after RAN4’s decision even for 120 kHz SCS. </w:t>
            </w:r>
          </w:p>
        </w:tc>
      </w:tr>
    </w:tbl>
    <w:p w14:paraId="53A54C29" w14:textId="77777777" w:rsidR="00B94E2A" w:rsidRPr="00AB5177"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lastRenderedPageBreak/>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c"/>
        <w:numPr>
          <w:ilvl w:val="1"/>
          <w:numId w:val="7"/>
        </w:numPr>
        <w:spacing w:after="0"/>
        <w:rPr>
          <w:rFonts w:ascii="Times New Roman" w:hAnsi="Times New Roman"/>
          <w:sz w:val="22"/>
          <w:szCs w:val="22"/>
          <w:lang w:eastAsia="zh-CN"/>
        </w:rPr>
      </w:pP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c"/>
        <w:spacing w:after="0"/>
        <w:rPr>
          <w:rFonts w:ascii="Times New Roman" w:hAnsi="Times New Roman"/>
          <w:sz w:val="22"/>
          <w:szCs w:val="22"/>
          <w:lang w:eastAsia="zh-CN"/>
        </w:rPr>
      </w:pPr>
    </w:p>
    <w:p w14:paraId="3285A58F"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ac"/>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c"/>
        <w:spacing w:after="0"/>
        <w:rPr>
          <w:rFonts w:ascii="Times New Roman" w:hAnsi="Times New Roman"/>
          <w:sz w:val="22"/>
          <w:szCs w:val="22"/>
          <w:lang w:eastAsia="zh-CN"/>
        </w:rPr>
      </w:pPr>
    </w:p>
    <w:p w14:paraId="15CFF9E8" w14:textId="77777777" w:rsidR="00B94E2A" w:rsidRDefault="00B94E2A">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571, 1151: Intel, Futurewei, Samsung, [Interdigital], Sharp, ZTE (non-initial access), Sanechip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w:t>
            </w:r>
            <w:r>
              <w:rPr>
                <w:rFonts w:ascii="Times New Roman" w:eastAsiaTheme="minorEastAsia" w:hAnsi="Times New Roman"/>
                <w:sz w:val="22"/>
                <w:szCs w:val="22"/>
                <w:lang w:eastAsia="ko-KR"/>
              </w:rPr>
              <w:lastRenderedPageBreak/>
              <w:t xml:space="preserve">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MS Mincho" w:hAnsi="Times New Roman" w:hint="eastAsia"/>
                <w:sz w:val="22"/>
                <w:szCs w:val="22"/>
                <w:lang w:eastAsia="ja-JP"/>
              </w:rPr>
            </w:pPr>
            <w:r>
              <w:rPr>
                <w:rFonts w:ascii="Times New Roman" w:hAnsi="Times New Roman"/>
                <w:sz w:val="22"/>
                <w:szCs w:val="22"/>
                <w:lang w:eastAsia="zh-CN"/>
              </w:rPr>
              <w:lastRenderedPageBreak/>
              <w:t>Mediatek</w:t>
            </w:r>
          </w:p>
        </w:tc>
        <w:tc>
          <w:tcPr>
            <w:tcW w:w="8157" w:type="dxa"/>
          </w:tcPr>
          <w:p w14:paraId="527CD03E" w14:textId="09CEA5FC" w:rsidR="00614254" w:rsidRDefault="00614254" w:rsidP="00614254">
            <w:pPr>
              <w:pStyle w:val="ac"/>
              <w:spacing w:after="0"/>
              <w:rPr>
                <w:rFonts w:ascii="Times New Roman" w:eastAsia="MS Mincho" w:hAnsi="Times New Roman" w:hint="eastAsia"/>
                <w:sz w:val="22"/>
                <w:szCs w:val="22"/>
                <w:lang w:eastAsia="ja-JP"/>
              </w:rPr>
            </w:pPr>
            <w:r>
              <w:rPr>
                <w:rFonts w:ascii="Times New Roman" w:hAnsi="Times New Roman"/>
                <w:sz w:val="22"/>
                <w:szCs w:val="22"/>
                <w:lang w:eastAsia="zh-CN"/>
              </w:rPr>
              <w:t>Support only short sequence L=139.</w:t>
            </w: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c"/>
        <w:spacing w:after="0"/>
        <w:rPr>
          <w:rFonts w:ascii="Times New Roman" w:hAnsi="Times New Roman"/>
          <w:sz w:val="22"/>
          <w:szCs w:val="22"/>
          <w:lang w:eastAsia="zh-CN"/>
        </w:rPr>
      </w:pPr>
    </w:p>
    <w:p w14:paraId="60FE763C" w14:textId="77777777" w:rsidR="00B94E2A" w:rsidRDefault="00B94E2A">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059C7A44"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w:t>
            </w:r>
            <w:r>
              <w:rPr>
                <w:rFonts w:ascii="Times New Roman" w:hAnsi="Times New Roman"/>
                <w:szCs w:val="22"/>
                <w:lang w:eastAsia="zh-CN"/>
              </w:rPr>
              <w:lastRenderedPageBreak/>
              <w:t>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MS Mincho" w:hAnsi="Times New Roman" w:hint="eastAsia"/>
                <w:sz w:val="22"/>
                <w:szCs w:val="22"/>
                <w:lang w:eastAsia="ja-JP"/>
              </w:rPr>
            </w:pPr>
            <w:r>
              <w:rPr>
                <w:rFonts w:ascii="Times New Roman" w:hAnsi="Times New Roman"/>
                <w:szCs w:val="22"/>
                <w:lang w:eastAsia="zh-CN"/>
              </w:rPr>
              <w:lastRenderedPageBreak/>
              <w:t>Mediatek</w:t>
            </w:r>
          </w:p>
        </w:tc>
        <w:tc>
          <w:tcPr>
            <w:tcW w:w="8157" w:type="dxa"/>
          </w:tcPr>
          <w:p w14:paraId="4E1D10EA" w14:textId="388A583D"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c"/>
        <w:spacing w:after="0"/>
        <w:rPr>
          <w:rFonts w:ascii="Times New Roman" w:hAnsi="Times New Roman"/>
          <w:sz w:val="22"/>
          <w:szCs w:val="22"/>
          <w:lang w:eastAsia="zh-CN"/>
        </w:rPr>
      </w:pPr>
    </w:p>
    <w:p w14:paraId="35839C23" w14:textId="77777777" w:rsidR="00B94E2A" w:rsidRDefault="00B94E2A">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6063AB0" w14:textId="77777777" w:rsidR="00B94E2A" w:rsidRDefault="00B94E2A">
      <w:pPr>
        <w:pStyle w:val="ac"/>
        <w:spacing w:after="0"/>
        <w:rPr>
          <w:rFonts w:ascii="Times New Roman" w:hAnsi="Times New Roman"/>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c"/>
        <w:spacing w:after="0"/>
        <w:rPr>
          <w:rFonts w:ascii="Times New Roman" w:hAnsi="Times New Roman"/>
          <w:sz w:val="22"/>
          <w:szCs w:val="22"/>
          <w:lang w:eastAsia="zh-CN"/>
        </w:rPr>
      </w:pPr>
    </w:p>
    <w:p w14:paraId="3C98CB61" w14:textId="77777777" w:rsidR="00B94E2A" w:rsidRDefault="00B94E2A">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bookmarkStart w:id="8" w:name="_GoBack"/>
      <w:bookmarkEnd w:id="8"/>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2"/>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f2"/>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2"/>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f2"/>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2"/>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2"/>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2"/>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2"/>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2"/>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2"/>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2"/>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2"/>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2"/>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2"/>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2"/>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2"/>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2"/>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2"/>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2"/>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f2"/>
        <w:numPr>
          <w:ilvl w:val="0"/>
          <w:numId w:val="18"/>
        </w:numPr>
        <w:ind w:left="540" w:hanging="540"/>
        <w:rPr>
          <w:rFonts w:eastAsia="Calibri"/>
          <w:lang w:eastAsia="zh-CN"/>
        </w:rPr>
      </w:pPr>
      <w:r>
        <w:rPr>
          <w:rFonts w:eastAsia="Calibri"/>
          <w:lang w:eastAsia="zh-CN"/>
        </w:rPr>
        <w:lastRenderedPageBreak/>
        <w:t>R1-2103442, “Further Discussion of Initial Access Aspects,” AT&amp;T</w:t>
      </w:r>
    </w:p>
    <w:p w14:paraId="10122494" w14:textId="77777777" w:rsidR="00B94E2A" w:rsidRDefault="002127BF">
      <w:pPr>
        <w:pStyle w:val="aff2"/>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f2"/>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2"/>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f2"/>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2"/>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2"/>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5153B" w14:textId="77777777" w:rsidR="00855B3A" w:rsidRDefault="00855B3A">
      <w:pPr>
        <w:spacing w:after="0" w:line="240" w:lineRule="auto"/>
      </w:pPr>
      <w:r>
        <w:separator/>
      </w:r>
    </w:p>
  </w:endnote>
  <w:endnote w:type="continuationSeparator" w:id="0">
    <w:p w14:paraId="50E1D5AF" w14:textId="77777777" w:rsidR="00855B3A" w:rsidRDefault="0085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B94E2A" w:rsidRDefault="002127B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03CD62" w14:textId="77777777" w:rsidR="00B94E2A" w:rsidRDefault="00B94E2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77777777" w:rsidR="00B94E2A" w:rsidRDefault="002127BF">
    <w:pPr>
      <w:pStyle w:val="af1"/>
      <w:ind w:right="360"/>
    </w:pPr>
    <w:r>
      <w:rPr>
        <w:rStyle w:val="afc"/>
      </w:rPr>
      <w:fldChar w:fldCharType="begin"/>
    </w:r>
    <w:r>
      <w:rPr>
        <w:rStyle w:val="afc"/>
      </w:rPr>
      <w:instrText xml:space="preserve"> PAGE </w:instrText>
    </w:r>
    <w:r>
      <w:rPr>
        <w:rStyle w:val="afc"/>
      </w:rPr>
      <w:fldChar w:fldCharType="separate"/>
    </w:r>
    <w:r w:rsidR="00614254">
      <w:rPr>
        <w:rStyle w:val="afc"/>
        <w:noProof/>
      </w:rPr>
      <w:t>44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14254">
      <w:rPr>
        <w:rStyle w:val="afc"/>
        <w:noProof/>
      </w:rPr>
      <w:t>46</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1DF9" w14:textId="77777777" w:rsidR="00855B3A" w:rsidRDefault="00855B3A">
      <w:pPr>
        <w:spacing w:after="0" w:line="240" w:lineRule="auto"/>
      </w:pPr>
      <w:r>
        <w:separator/>
      </w:r>
    </w:p>
  </w:footnote>
  <w:footnote w:type="continuationSeparator" w:id="0">
    <w:p w14:paraId="7FADED97" w14:textId="77777777" w:rsidR="00855B3A" w:rsidRDefault="0085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086AFA5-D9F5-4398-A992-97A68D89D22F}">
  <ds:schemaRefs>
    <ds:schemaRef ds:uri="http://schemas.openxmlformats.org/officeDocument/2006/bibliography"/>
  </ds:schemaRefs>
</ds:datastoreItem>
</file>

<file path=customXml/itemProps8.xml><?xml version="1.0" encoding="utf-8"?>
<ds:datastoreItem xmlns:ds="http://schemas.openxmlformats.org/officeDocument/2006/customXml" ds:itemID="{1DDF8818-6D72-4103-8506-128E2CB9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46</Pages>
  <Words>16815</Words>
  <Characters>95846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Eddie Fang (方俊皓)</cp:lastModifiedBy>
  <cp:revision>2</cp:revision>
  <cp:lastPrinted>2011-11-09T07:49:00Z</cp:lastPrinted>
  <dcterms:created xsi:type="dcterms:W3CDTF">2021-04-14T03:00:00Z</dcterms:created>
  <dcterms:modified xsi:type="dcterms:W3CDTF">2021-04-14T03:00:00Z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