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bl>
    <w:p w14:paraId="35FF261B" w14:textId="77777777" w:rsidR="00B94E2A"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 xml:space="preserve">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3CFFACC" w14:textId="77777777"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periodicity cannot be treated as Short Control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and number of PBCH DMRS sequences is the same as for FR2. With these restrictions, we are not sure if it is possible to support the same mechanism as in Rel-16 NR-U with reasonable </w:t>
            </w:r>
            <w:proofErr w:type="gramStart"/>
            <w:r>
              <w:rPr>
                <w:rFonts w:ascii="Times New Roman" w:eastAsia="ＭＳ 明朝" w:hAnsi="Times New Roman"/>
                <w:sz w:val="22"/>
                <w:szCs w:val="22"/>
                <w:lang w:eastAsia="ja-JP"/>
              </w:rPr>
              <w:t>amount</w:t>
            </w:r>
            <w:proofErr w:type="gramEnd"/>
            <w:r>
              <w:rPr>
                <w:rFonts w:ascii="Times New Roman" w:eastAsia="ＭＳ 明朝" w:hAnsi="Times New Roman"/>
                <w:sz w:val="22"/>
                <w:szCs w:val="22"/>
                <w:lang w:eastAsia="ja-JP"/>
              </w:rPr>
              <w:t xml:space="preserve"> of enhancements. </w:t>
            </w:r>
          </w:p>
        </w:tc>
      </w:tr>
    </w:tbl>
    <w:p w14:paraId="087BF49C" w14:textId="77777777" w:rsidR="00B94E2A"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bl>
    <w:p w14:paraId="53A54C29" w14:textId="77777777" w:rsidR="00B94E2A" w:rsidRPr="00AB5177"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ＭＳ 明朝"/>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hint="eastAsia"/>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[Interdigital], Sharp,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sidRPr="00682F0B">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2CBB" w14:textId="77777777" w:rsidR="002E6DA0" w:rsidRDefault="002E6DA0">
      <w:pPr>
        <w:spacing w:after="0" w:line="240" w:lineRule="auto"/>
      </w:pPr>
      <w:r>
        <w:separator/>
      </w:r>
    </w:p>
  </w:endnote>
  <w:endnote w:type="continuationSeparator" w:id="0">
    <w:p w14:paraId="7DC21C1E" w14:textId="77777777" w:rsidR="002E6DA0" w:rsidRDefault="002E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1498" w14:textId="77777777" w:rsidR="00B94E2A" w:rsidRDefault="002127B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B94E2A" w:rsidRDefault="00B94E2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C333" w14:textId="77777777" w:rsidR="00B94E2A" w:rsidRDefault="002127BF">
    <w:pPr>
      <w:pStyle w:val="af1"/>
      <w:ind w:right="360"/>
    </w:pPr>
    <w:r>
      <w:rPr>
        <w:rStyle w:val="afc"/>
      </w:rPr>
      <w:fldChar w:fldCharType="begin"/>
    </w:r>
    <w:r>
      <w:rPr>
        <w:rStyle w:val="afc"/>
      </w:rPr>
      <w:instrText xml:space="preserve"> PAGE </w:instrText>
    </w:r>
    <w:r>
      <w:rPr>
        <w:rStyle w:val="afc"/>
      </w:rPr>
      <w:fldChar w:fldCharType="separate"/>
    </w:r>
    <w:r w:rsidR="00BB03D0">
      <w:rPr>
        <w:rStyle w:val="afc"/>
        <w:noProof/>
      </w:rPr>
      <w:t>44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B03D0">
      <w:rPr>
        <w:rStyle w:val="afc"/>
        <w:noProof/>
      </w:rPr>
      <w:t>44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F356" w14:textId="77777777" w:rsidR="002E6DA0" w:rsidRDefault="002E6DA0">
      <w:pPr>
        <w:spacing w:after="0" w:line="240" w:lineRule="auto"/>
      </w:pPr>
      <w:r>
        <w:separator/>
      </w:r>
    </w:p>
  </w:footnote>
  <w:footnote w:type="continuationSeparator" w:id="0">
    <w:p w14:paraId="1605C9AE" w14:textId="77777777" w:rsidR="002E6DA0" w:rsidRDefault="002E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CE9D" w14:textId="77777777"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C97A06-4E15-49E0-99C5-CC3EF15084CF}">
  <ds:schemaRefs>
    <ds:schemaRef ds:uri="http://schemas.openxmlformats.org/officeDocument/2006/bibliography"/>
  </ds:schemaRefs>
</ds:datastoreItem>
</file>

<file path=customXml/itemProps5.xml><?xml version="1.0" encoding="utf-8"?>
<ds:datastoreItem xmlns:ds="http://schemas.openxmlformats.org/officeDocument/2006/customXml" ds:itemID="{D774E713-9455-4FC2-9C03-B5B55E9B42E0}">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45</Pages>
  <Words>16743</Words>
  <Characters>95438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Naoya Shibaike</cp:lastModifiedBy>
  <cp:revision>2</cp:revision>
  <cp:lastPrinted>2011-11-09T07:49:00Z</cp:lastPrinted>
  <dcterms:created xsi:type="dcterms:W3CDTF">2021-04-14T02:50:00Z</dcterms:created>
  <dcterms:modified xsi:type="dcterms:W3CDTF">2021-04-14T02:50:00Z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