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12 – 20,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pPr>
        <w:pStyle w:val="115"/>
        <w:numPr>
          <w:ilvl w:val="0"/>
          <w:numId w:val="6"/>
        </w:numPr>
        <w:rPr>
          <w:lang w:eastAsia="zh-CN"/>
        </w:rPr>
      </w:pPr>
      <w:r>
        <w:rPr>
          <w:lang w:eastAsia="zh-CN"/>
        </w:rPr>
        <w:t>[104b-e-NR-52-71GHz-01] Email discussion/approval on initial access aspects with checkpoints for agreements on Apr-15, Apr-20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2"/>
        <w:spacing w:after="0"/>
        <w:rPr>
          <w:rFonts w:ascii="Times New Roman" w:hAnsi="Times New Roman"/>
          <w:sz w:val="22"/>
          <w:szCs w:val="22"/>
          <w:lang w:eastAsia="zh-CN"/>
        </w:rPr>
      </w:pP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Beyond 120k Hz SCS，at least one of 240/480/960 kHz SCSs can be configured for cell defined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any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hint="eastAsia" w:ascii="Times New Roman" w:hAnsi="Times New Roman"/>
          <w:sz w:val="22"/>
          <w:szCs w:val="22"/>
          <w:lang w:eastAsia="zh-CN"/>
        </w:rPr>
        <w:t>SSB of non-initi</w:t>
      </w:r>
      <w:r>
        <w:rPr>
          <w:rFonts w:ascii="Times New Roman" w:hAnsi="Times New Roman"/>
          <w:sz w:val="22"/>
          <w:szCs w:val="22"/>
          <w:lang w:eastAsia="zh-CN"/>
        </w:rPr>
        <w:t>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SSB supports SCS (12</w:t>
      </w:r>
      <w:r>
        <w:rPr>
          <w:rFonts w:ascii="Times New Roman" w:hAnsi="Times New Roman"/>
          <w:sz w:val="22"/>
          <w:szCs w:val="22"/>
          <w:lang w:eastAsia="zh-CN"/>
        </w:rPr>
        <w:t xml:space="preserve">0kHz, </w:t>
      </w:r>
      <w:r>
        <w:rPr>
          <w:rFonts w:hint="eastAsia" w:ascii="Times New Roman" w:hAnsi="Times New Roman"/>
          <w:sz w:val="22"/>
          <w:szCs w:val="22"/>
          <w:lang w:eastAsia="zh-CN"/>
        </w:rPr>
        <w:t>240kHz); Other initial access signals/channels support SCS (12</w:t>
      </w:r>
      <w:r>
        <w:rPr>
          <w:rFonts w:ascii="Times New Roman" w:hAnsi="Times New Roman"/>
          <w:sz w:val="22"/>
          <w:szCs w:val="22"/>
          <w:lang w:eastAsia="zh-CN"/>
        </w:rPr>
        <w:t>0kHz</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Regardless of SSB SCSs 480/960 kHz are supported only in non-initial access case or in both initial and non-initial access cases, the SSB design should not impact on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480 and</w:t>
      </w:r>
      <w:r>
        <w:rPr>
          <w:rFonts w:ascii="Times New Roman" w:hAnsi="Times New Roman"/>
          <w:sz w:val="22"/>
          <w:szCs w:val="22"/>
          <w:lang w:eastAsia="zh-CN"/>
        </w:rPr>
        <w:t>/or</w:t>
      </w:r>
      <w:r>
        <w:rPr>
          <w:rFonts w:hint="eastAsia" w:ascii="Times New Roman" w:hAnsi="Times New Roman"/>
          <w:sz w:val="22"/>
          <w:szCs w:val="22"/>
          <w:lang w:eastAsia="zh-CN"/>
        </w:rPr>
        <w:t xml:space="preserve"> 960 kHz SCS should be supported </w:t>
      </w:r>
      <w:r>
        <w:rPr>
          <w:rFonts w:ascii="Times New Roman" w:hAnsi="Times New Roman"/>
          <w:sz w:val="22"/>
          <w:szCs w:val="22"/>
          <w:lang w:eastAsia="zh-CN"/>
        </w:rPr>
        <w:t>for initial access case</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480 and 960 kHz SCS should be supported </w:t>
      </w:r>
      <w:r>
        <w:rPr>
          <w:rFonts w:ascii="Times New Roman" w:hAnsi="Times New Roman"/>
          <w:sz w:val="22"/>
          <w:szCs w:val="22"/>
          <w:lang w:eastAsia="zh-CN"/>
        </w:rPr>
        <w:t>for non-initial access cases</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hint="eastAsia" w:ascii="Times New Roman" w:hAnsi="Times New Roman"/>
          <w:sz w:val="22"/>
          <w:szCs w:val="22"/>
          <w:lang w:eastAsia="zh-CN"/>
        </w:rPr>
        <w:t>480 and 960 kHz SCS should be supported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And we don’t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We are open to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first preference is to s</w:t>
            </w:r>
            <w:r>
              <w:rPr>
                <w:rFonts w:hint="eastAsia" w:ascii="Times New Roman" w:hAnsi="Times New Roman" w:eastAsiaTheme="minorEastAsia"/>
                <w:sz w:val="22"/>
                <w:szCs w:val="22"/>
                <w:lang w:eastAsia="ko-KR"/>
              </w:rPr>
              <w:t xml:space="preserve">upport </w:t>
            </w:r>
            <w:r>
              <w:rPr>
                <w:rFonts w:ascii="Times New Roman" w:hAnsi="Times New Roman" w:eastAsiaTheme="minorEastAsia"/>
                <w:sz w:val="22"/>
                <w:szCs w:val="22"/>
                <w:lang w:eastAsia="ko-KR"/>
              </w:rPr>
              <w:t xml:space="preserve">only </w:t>
            </w:r>
            <w:r>
              <w:rPr>
                <w:rFonts w:hint="eastAsia" w:ascii="Times New Roman" w:hAnsi="Times New Roman" w:eastAsiaTheme="minorEastAsia"/>
                <w:sz w:val="22"/>
                <w:szCs w:val="22"/>
                <w:lang w:eastAsia="ko-KR"/>
              </w:rPr>
              <w:t>Case C</w:t>
            </w:r>
            <w:r>
              <w:rPr>
                <w:rFonts w:ascii="Times New Roman" w:hAnsi="Times New Roman" w:eastAsiaTheme="minorEastAsia"/>
                <w:sz w:val="22"/>
                <w:szCs w:val="22"/>
                <w:lang w:eastAsia="ko-KR"/>
              </w:rPr>
              <w:t xml:space="preserve"> which is already supported for FR2</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For ANR support of 480/960 kHz SCS SSB,</w:t>
            </w:r>
            <w:r>
              <w:rPr>
                <w:rFonts w:ascii="Times New Roman" w:hAnsi="Times New Roman" w:eastAsiaTheme="minorEastAsia"/>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pPr>
              <w:pStyle w:val="32"/>
              <w:spacing w:before="120" w:after="0" w:line="280" w:lineRule="atLeast"/>
              <w:rPr>
                <w:rFonts w:hint="eastAsia"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242"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w:t>
            </w:r>
            <w:r>
              <w:rPr>
                <w:rFonts w:hint="eastAsia" w:ascii="Times New Roman" w:hAnsi="Times New Roman"/>
                <w:sz w:val="22"/>
                <w:szCs w:val="22"/>
                <w:lang w:eastAsia="zh-CN"/>
              </w:rPr>
              <w:t xml:space="preserve">SSB SCS 480/960 kHz </w:t>
            </w:r>
            <w:r>
              <w:rPr>
                <w:rFonts w:hint="eastAsia" w:ascii="Times New Roman" w:hAnsi="Times New Roman"/>
                <w:sz w:val="22"/>
                <w:szCs w:val="22"/>
                <w:lang w:val="en-US" w:eastAsia="zh-CN"/>
              </w:rPr>
              <w:t xml:space="preserve">should be </w:t>
            </w:r>
            <w:r>
              <w:rPr>
                <w:rFonts w:hint="eastAsia" w:ascii="Times New Roman" w:hAnsi="Times New Roman"/>
                <w:sz w:val="22"/>
                <w:szCs w:val="22"/>
                <w:lang w:eastAsia="zh-CN"/>
              </w:rPr>
              <w:t xml:space="preserve">supported in </w:t>
            </w:r>
            <w:r>
              <w:rPr>
                <w:rFonts w:hint="eastAsia" w:ascii="Times New Roman" w:hAnsi="Times New Roman"/>
                <w:sz w:val="22"/>
                <w:szCs w:val="22"/>
                <w:lang w:val="en-US" w:eastAsia="zh-CN"/>
              </w:rPr>
              <w:t xml:space="preserve">both </w:t>
            </w:r>
            <w:r>
              <w:rPr>
                <w:rFonts w:hint="eastAsia" w:ascii="Times New Roman" w:hAnsi="Times New Roman"/>
                <w:sz w:val="22"/>
                <w:szCs w:val="22"/>
                <w:lang w:eastAsia="zh-CN"/>
              </w:rPr>
              <w:t>non-initial access  and initial access cases</w:t>
            </w:r>
            <w:r>
              <w:rPr>
                <w:rFonts w:hint="eastAsia" w:ascii="Times New Roman" w:hAnsi="Times New Roman"/>
                <w:sz w:val="22"/>
                <w:szCs w:val="22"/>
                <w:lang w:val="en-US"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DRS Related Aspects (including potential use of Short Signal Exemption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less than 64 can be indicated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iscovery burst (DB) and discovery burst transmission window (DBTW) </w:t>
      </w:r>
      <w:r>
        <w:rPr>
          <w:rFonts w:hint="eastAsia" w:ascii="Times New Roman" w:hAnsi="Times New Roman"/>
          <w:sz w:val="22"/>
          <w:szCs w:val="22"/>
          <w:lang w:eastAsia="zh-CN"/>
        </w:rPr>
        <w:t>should be supported for 120 kHz SSB SCS and other SSB SCSs if they are agreed to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A discovery burst </w:t>
      </w:r>
      <w:r>
        <w:rPr>
          <w:rFonts w:ascii="Times New Roman" w:hAnsi="Times New Roman"/>
          <w:sz w:val="22"/>
          <w:szCs w:val="22"/>
          <w:lang w:eastAsia="zh-CN"/>
        </w:rPr>
        <w:t>(DB)</w:t>
      </w:r>
      <w:r>
        <w:rPr>
          <w:rFonts w:hint="eastAsia" w:ascii="Times New Roman" w:hAnsi="Times New Roman"/>
          <w:sz w:val="22"/>
          <w:szCs w:val="22"/>
          <w:lang w:eastAsia="zh-CN"/>
        </w:rPr>
        <w:t xml:space="preserve"> in Rel-17 NR above 52.6 GHz includes at least an SSB and may also include RMSI-CORESET, RMSI-PDSCH and/or NZP CSI-RS.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OPPO, Huawei HiSilicon, Futurewei, Samsung,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w:t>
      </w:r>
    </w:p>
    <w:p>
      <w:pPr>
        <w:pStyle w:val="32"/>
        <w:spacing w:after="0"/>
        <w:rPr>
          <w:rFonts w:ascii="Times New Roman" w:hAnsi="Times New Roman"/>
          <w:sz w:val="22"/>
          <w:szCs w:val="22"/>
          <w:lang w:eastAsia="zh-CN"/>
        </w:rPr>
      </w:pPr>
    </w:p>
    <w:p>
      <w:pPr>
        <w:pStyle w:val="32"/>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Prefer to support DBTW for 480/960 kHz SCS SSB as well. </w:t>
            </w:r>
            <w:r>
              <w:rPr>
                <w:rFonts w:ascii="Times New Roman" w:hAnsi="Times New Roman" w:eastAsiaTheme="minorEastAsia"/>
                <w:sz w:val="22"/>
                <w:szCs w:val="22"/>
                <w:lang w:eastAsia="ko-KR"/>
              </w:rPr>
              <w:t>If MIB does not suffice to express increased number of candidate SSB indices, we can keep 64 candidate SSB indices but allow Q less than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242" w:type="dxa"/>
          </w:tcPr>
          <w:p>
            <w:pPr>
              <w:spacing w:before="120" w:after="120" w:afterLines="50" w:line="280" w:lineRule="atLeast"/>
              <w:jc w:val="both"/>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hint="eastAsia" w:eastAsiaTheme="minorEastAsia"/>
                <w:lang w:eastAsia="zh-CN"/>
              </w:rPr>
              <w:t xml:space="preserve">or </w:t>
            </w:r>
            <w:r>
              <w:rPr>
                <w:rFonts w:eastAsiaTheme="minorEastAsia"/>
                <w:lang w:eastAsia="zh-CN"/>
              </w:rPr>
              <w:t xml:space="preserve">SSB with </w:t>
            </w:r>
            <w:r>
              <w:rPr>
                <w:rFonts w:hint="eastAsia" w:eastAsiaTheme="minorEastAsia"/>
                <w:lang w:eastAsia="zh-CN"/>
              </w:rPr>
              <w:t>SCS</w:t>
            </w:r>
            <w:r>
              <w:rPr>
                <w:rFonts w:eastAsiaTheme="minorEastAsia"/>
                <w:lang w:eastAsia="zh-CN"/>
              </w:rPr>
              <w:t xml:space="preserve"> 480 KHz</w:t>
            </w:r>
            <w:r>
              <w:rPr>
                <w:rFonts w:hint="eastAsia" w:eastAsiaTheme="minorEastAsia"/>
                <w:lang w:eastAsia="zh-CN"/>
              </w:rPr>
              <w:t xml:space="preserve">/ 960KHz, the duty cycle is less than 6% </w:t>
            </w:r>
            <w:r>
              <w:rPr>
                <w:rFonts w:eastAsiaTheme="minorEastAsia"/>
                <w:lang w:eastAsia="zh-CN"/>
              </w:rPr>
              <w:t xml:space="preserve"> if up</w:t>
            </w:r>
            <w:r>
              <w:rPr>
                <w:rFonts w:hint="eastAsia" w:eastAsiaTheme="minorEastAsia"/>
                <w:lang w:eastAsia="zh-CN"/>
              </w:rPr>
              <w:t xml:space="preserve"> to 64 SSBs are transmitted</w:t>
            </w:r>
            <w:r>
              <w:rPr>
                <w:rFonts w:eastAsiaTheme="minorEastAsia"/>
                <w:lang w:eastAsia="zh-CN"/>
              </w:rPr>
              <w:t>. Therefore</w:t>
            </w:r>
            <w:r>
              <w:rPr>
                <w:rFonts w:hint="eastAsia" w:eastAsiaTheme="minorEastAsia"/>
                <w:lang w:eastAsia="zh-CN"/>
              </w:rPr>
              <w:t xml:space="preserve">, DBTW is not </w:t>
            </w:r>
            <w:r>
              <w:rPr>
                <w:rFonts w:eastAsiaTheme="minorEastAsia"/>
                <w:lang w:eastAsia="zh-CN"/>
              </w:rPr>
              <w:t>needed</w:t>
            </w:r>
            <w:r>
              <w:rPr>
                <w:rFonts w:hint="eastAsia" w:eastAsiaTheme="minorEastAsia"/>
                <w:lang w:eastAsia="zh-CN"/>
              </w:rPr>
              <w:t xml:space="preserve"> for SSB of 480KHz/960KHz.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pPr>
              <w:numPr>
                <w:ilvl w:val="1"/>
                <w:numId w:val="11"/>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spacing w:before="120" w:after="120" w:afterLines="50" w:line="280" w:lineRule="atLeast"/>
              <w:jc w:val="both"/>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top"/>
          </w:tcPr>
          <w:p>
            <w:pPr>
              <w:pStyle w:val="32"/>
              <w:spacing w:before="120" w:after="0" w:line="280" w:lineRule="atLeast"/>
              <w:rPr>
                <w:rFonts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242" w:type="dxa"/>
            <w:vAlign w:val="top"/>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 xml:space="preserve">We think DB and DBTW </w:t>
            </w:r>
            <w:r>
              <w:rPr>
                <w:rFonts w:hint="eastAsia" w:ascii="Times New Roman" w:hAnsi="Times New Roman"/>
                <w:sz w:val="22"/>
                <w:szCs w:val="22"/>
                <w:lang w:eastAsia="zh-CN"/>
              </w:rPr>
              <w:t xml:space="preserve">should be supported </w:t>
            </w:r>
            <w:r>
              <w:rPr>
                <w:rFonts w:hint="eastAsia" w:ascii="Times New Roman" w:hAnsi="Times New Roman"/>
                <w:color w:val="FF0000"/>
                <w:sz w:val="22"/>
                <w:szCs w:val="22"/>
                <w:lang w:val="en-US" w:eastAsia="zh-CN"/>
              </w:rPr>
              <w:t>at least</w:t>
            </w:r>
            <w:r>
              <w:rPr>
                <w:rFonts w:hint="eastAsia" w:ascii="Times New Roman" w:hAnsi="Times New Roman"/>
                <w:sz w:val="22"/>
                <w:szCs w:val="22"/>
                <w:lang w:val="en-US" w:eastAsia="zh-CN"/>
              </w:rPr>
              <w:t xml:space="preserve"> </w:t>
            </w:r>
            <w:r>
              <w:rPr>
                <w:rFonts w:hint="eastAsia" w:ascii="Times New Roman" w:hAnsi="Times New Roman"/>
                <w:sz w:val="22"/>
                <w:szCs w:val="22"/>
                <w:lang w:eastAsia="zh-CN"/>
              </w:rPr>
              <w:t>for 120 kHz SSB SCS</w:t>
            </w:r>
            <w:r>
              <w:rPr>
                <w:rFonts w:hint="eastAsia" w:ascii="Times New Roman" w:hAnsi="Times New Roman"/>
                <w:sz w:val="22"/>
                <w:szCs w:val="22"/>
                <w:lang w:val="en-US" w:eastAsia="zh-CN"/>
              </w:rPr>
              <w:t>. For other SSB SCSs, DB and DBTW can also be considered</w:t>
            </w:r>
            <w:r>
              <w:rPr>
                <w:rFonts w:hint="eastAsia" w:ascii="Times New Roman" w:hAnsi="Times New Roman"/>
                <w:sz w:val="22"/>
                <w:szCs w:val="22"/>
                <w:lang w:eastAsia="zh-CN"/>
              </w:rPr>
              <w:t xml:space="preserve"> </w:t>
            </w:r>
            <w:r>
              <w:rPr>
                <w:rFonts w:hint="eastAsia" w:ascii="Times New Roman" w:hAnsi="Times New Roman"/>
                <w:sz w:val="22"/>
                <w:szCs w:val="22"/>
                <w:lang w:val="en-US" w:eastAsia="zh-CN"/>
              </w:rPr>
              <w:t xml:space="preserve">if they are agreed to be supported in the discussion of section 2.1.1. </w:t>
            </w:r>
            <w:r>
              <w:rPr>
                <w:rFonts w:hint="eastAsia" w:ascii="Times New Roman" w:hAnsi="Times New Roman"/>
                <w:sz w:val="22"/>
                <w:szCs w:val="22"/>
                <w:lang w:eastAsia="zh-CN"/>
              </w:rPr>
              <w:t xml:space="preserve"> </w:t>
            </w:r>
            <w:r>
              <w:rPr>
                <w:rFonts w:hint="eastAsia" w:ascii="Times New Roman" w:hAnsi="Times New Roman"/>
                <w:sz w:val="22"/>
                <w:szCs w:val="22"/>
                <w:lang w:val="en-US" w:eastAsia="zh-CN"/>
              </w:rPr>
              <w:t xml:space="preserve">Enabling/Disabling </w:t>
            </w:r>
            <w:r>
              <w:rPr>
                <w:rFonts w:hint="eastAsia" w:ascii="Times New Roman" w:hAnsi="Times New Roman"/>
                <w:sz w:val="22"/>
                <w:szCs w:val="22"/>
                <w:lang w:eastAsia="zh-CN"/>
              </w:rPr>
              <w:t xml:space="preserve">DBTW </w:t>
            </w:r>
            <w:r>
              <w:rPr>
                <w:rFonts w:hint="eastAsia" w:ascii="Times New Roman" w:hAnsi="Times New Roman"/>
                <w:sz w:val="22"/>
                <w:szCs w:val="22"/>
                <w:lang w:val="en-US" w:eastAsia="zh-CN"/>
              </w:rPr>
              <w:t>can be achieved by configuration implementation, i.e. by a implicit method.</w:t>
            </w:r>
          </w:p>
          <w:p>
            <w:pPr>
              <w:pStyle w:val="32"/>
              <w:spacing w:before="120" w:after="0" w:line="280" w:lineRule="atLeast"/>
              <w:rPr>
                <w:rFonts w:hint="default" w:ascii="Times New Roman" w:hAnsi="Times New Roman" w:eastAsia="宋体" w:cs="Times New Roman"/>
                <w:sz w:val="22"/>
                <w:szCs w:val="22"/>
                <w:lang w:val="en-US" w:eastAsia="zh-CN"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4"/>
        <w:rPr>
          <w:lang w:eastAsia="zh-CN"/>
        </w:rPr>
      </w:pPr>
      <w:r>
        <w:rPr>
          <w:lang w:eastAsia="zh-CN"/>
        </w:rPr>
        <w:t>2.1.3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pPr>
        <w:pStyle w:val="115"/>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pPr>
        <w:pStyle w:val="115"/>
        <w:numPr>
          <w:ilvl w:val="2"/>
          <w:numId w:val="7"/>
        </w:numPr>
        <w:overflowPunct w:val="0"/>
        <w:autoSpaceDE w:val="0"/>
        <w:autoSpaceDN w:val="0"/>
        <w:adjustRightInd w:val="0"/>
        <w:spacing w:after="180" w:line="240" w:lineRule="auto"/>
        <w:contextualSpacing/>
        <w:textAlignment w:val="baseline"/>
      </w:pPr>
      <w:r>
        <w:t>Note: symbols numbers are enumerated from 0.</w:t>
      </w:r>
    </w:p>
    <w:p>
      <w:pPr>
        <w:pStyle w:val="115"/>
        <w:numPr>
          <w:ilvl w:val="0"/>
          <w:numId w:val="7"/>
        </w:numPr>
        <w:overflowPunct w:val="0"/>
        <w:autoSpaceDE w:val="0"/>
        <w:autoSpaceDN w:val="0"/>
        <w:adjustRightInd w:val="0"/>
        <w:spacing w:after="180" w:line="240" w:lineRule="auto"/>
        <w:contextualSpacing/>
        <w:textAlignment w:val="baseline"/>
      </w:pPr>
      <w:r>
        <w:t>From [14] Apple:</w:t>
      </w:r>
    </w:p>
    <w:p>
      <w:pPr>
        <w:pStyle w:val="115"/>
        <w:numPr>
          <w:ilvl w:val="1"/>
          <w:numId w:val="7"/>
        </w:numPr>
        <w:spacing w:line="240" w:lineRule="auto"/>
        <w:contextualSpacing/>
      </w:pPr>
      <w:r>
        <w:t>Support to introduce a unified SSB Pattern for 480kHz SCS and 960kHz SCS (if supported):</w:t>
      </w:r>
    </w:p>
    <w:p>
      <w:pPr>
        <w:pStyle w:val="115"/>
        <w:numPr>
          <w:ilvl w:val="2"/>
          <w:numId w:val="7"/>
        </w:numPr>
        <w:spacing w:line="240" w:lineRule="auto"/>
        <w:contextualSpacing/>
      </w:pPr>
      <w:r>
        <w:t xml:space="preserve">The first symbol of candidate SSB have indexes {2,9,16,23} within each SSB burst. </w:t>
      </w:r>
    </w:p>
    <w:p>
      <w:pPr>
        <w:pStyle w:val="115"/>
        <w:numPr>
          <w:ilvl w:val="2"/>
          <w:numId w:val="7"/>
        </w:numPr>
        <w:spacing w:line="240" w:lineRule="auto"/>
        <w:contextualSpacing/>
      </w:pPr>
      <w:r>
        <w:t xml:space="preserve">Reserve 2 slots for DL/UL and UL/DL switching to allow for fast UL transmission between two SSB bursts.  </w:t>
      </w:r>
    </w:p>
    <w:p>
      <w:pPr>
        <w:pStyle w:val="115"/>
        <w:numPr>
          <w:ilvl w:val="0"/>
          <w:numId w:val="7"/>
        </w:numPr>
        <w:overflowPunct w:val="0"/>
        <w:autoSpaceDE w:val="0"/>
        <w:autoSpaceDN w:val="0"/>
        <w:adjustRightInd w:val="0"/>
        <w:spacing w:after="180" w:line="240" w:lineRule="auto"/>
        <w:contextualSpacing/>
        <w:textAlignment w:val="baseline"/>
      </w:pPr>
      <w:r>
        <w:t>From [15] Qualcomm:</w:t>
      </w:r>
    </w:p>
    <w:p>
      <w:pPr>
        <w:pStyle w:val="115"/>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pPr>
        <w:pStyle w:val="115"/>
        <w:numPr>
          <w:ilvl w:val="2"/>
          <w:numId w:val="7"/>
        </w:numPr>
        <w:spacing w:line="240" w:lineRule="auto"/>
        <w:contextualSpacing/>
      </w:pPr>
      <w:r>
        <w:t>A beam switching gap of 1 symbol is inserted between SSBs within the “SSB slot”</w:t>
      </w:r>
    </w:p>
    <w:p>
      <w:pPr>
        <w:pStyle w:val="115"/>
        <w:numPr>
          <w:ilvl w:val="2"/>
          <w:numId w:val="7"/>
        </w:numPr>
        <w:spacing w:line="240" w:lineRule="auto"/>
        <w:contextualSpacing/>
      </w:pPr>
      <w:r>
        <w:t>Additional control symbols may be defined in the SSB slots with beam switching gaps between control and SSB symbols of different beams</w:t>
      </w:r>
    </w:p>
    <w:p>
      <w:pPr>
        <w:pStyle w:val="115"/>
        <w:numPr>
          <w:ilvl w:val="2"/>
          <w:numId w:val="7"/>
        </w:numPr>
        <w:spacing w:line="240" w:lineRule="auto"/>
        <w:contextualSpacing/>
      </w:pPr>
      <w:r>
        <w:t>Additional “gap slots” may be inserted between “SSB slots” to account for URLLC and UL traffic</w:t>
      </w:r>
    </w:p>
    <w:p>
      <w:pPr>
        <w:pStyle w:val="115"/>
        <w:numPr>
          <w:ilvl w:val="2"/>
          <w:numId w:val="7"/>
        </w:numPr>
        <w:spacing w:line="240" w:lineRule="auto"/>
        <w:contextualSpacing/>
      </w:pPr>
      <w:r>
        <w:t>Consider the option of aligning the higher SCS SSBs with the corresponding beams for the lower SCS SSB</w:t>
      </w:r>
    </w:p>
    <w:p>
      <w:pPr>
        <w:pStyle w:val="115"/>
        <w:numPr>
          <w:ilvl w:val="0"/>
          <w:numId w:val="7"/>
        </w:numPr>
        <w:overflowPunct w:val="0"/>
        <w:autoSpaceDE w:val="0"/>
        <w:autoSpaceDN w:val="0"/>
        <w:adjustRightInd w:val="0"/>
        <w:spacing w:after="180" w:line="240" w:lineRule="auto"/>
        <w:contextualSpacing/>
        <w:textAlignment w:val="baseline"/>
      </w:pPr>
      <w:r>
        <w:t>From [16] Samsung:</w:t>
      </w:r>
    </w:p>
    <w:p>
      <w:pPr>
        <w:pStyle w:val="115"/>
        <w:numPr>
          <w:ilvl w:val="1"/>
          <w:numId w:val="7"/>
        </w:numPr>
        <w:spacing w:line="240" w:lineRule="auto"/>
        <w:contextualSpacing/>
      </w:pPr>
      <w:r>
        <w:t>Support new SS/PBCH block patterns for 480 kHz and 960 kHz SCSs.</w:t>
      </w:r>
    </w:p>
    <w:p>
      <w:pPr>
        <w:pStyle w:val="115"/>
        <w:numPr>
          <w:ilvl w:val="2"/>
          <w:numId w:val="7"/>
        </w:numPr>
        <w:spacing w:line="240" w:lineRule="auto"/>
        <w:contextualSpacing/>
      </w:pPr>
      <w:r>
        <w:t>At least one symbol should be reserved between neighboring SS/PBCH block for beam sweeping delay.</w:t>
      </w:r>
    </w:p>
    <w:p>
      <w:pPr>
        <w:pStyle w:val="115"/>
        <w:numPr>
          <w:ilvl w:val="2"/>
          <w:numId w:val="7"/>
        </w:numPr>
        <w:spacing w:line="240" w:lineRule="auto"/>
        <w:contextualSpacing/>
      </w:pPr>
      <w:r>
        <w:t xml:space="preserve">Symbols should be reserved for CORESET and HARQ with same SCS as SS/PBCH block. </w:t>
      </w:r>
    </w:p>
    <w:p>
      <w:pPr>
        <w:pStyle w:val="115"/>
        <w:numPr>
          <w:ilvl w:val="2"/>
          <w:numId w:val="7"/>
        </w:numPr>
        <w:spacing w:line="240" w:lineRule="auto"/>
        <w:contextualSpacing/>
      </w:pPr>
      <w:r>
        <w:t>SS/PBCH block candidate locations in a slot for Case A can be reused.</w:t>
      </w:r>
    </w:p>
    <w:p>
      <w:pPr>
        <w:pStyle w:val="115"/>
        <w:numPr>
          <w:ilvl w:val="0"/>
          <w:numId w:val="7"/>
        </w:numPr>
        <w:overflowPunct w:val="0"/>
        <w:autoSpaceDE w:val="0"/>
        <w:autoSpaceDN w:val="0"/>
        <w:adjustRightInd w:val="0"/>
        <w:spacing w:after="180" w:line="240" w:lineRule="auto"/>
        <w:contextualSpacing/>
        <w:textAlignment w:val="baseline"/>
      </w:pPr>
      <w: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115"/>
        <w:numPr>
          <w:ilvl w:val="0"/>
          <w:numId w:val="7"/>
        </w:numPr>
        <w:overflowPunct w:val="0"/>
        <w:autoSpaceDE w:val="0"/>
        <w:autoSpaceDN w:val="0"/>
        <w:adjustRightInd w:val="0"/>
        <w:spacing w:after="180" w:line="240" w:lineRule="auto"/>
        <w:contextualSpacing/>
        <w:textAlignment w:val="baseline"/>
      </w:pPr>
      <w: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wo </w:t>
      </w:r>
      <w:r>
        <w:rPr>
          <w:rFonts w:ascii="Times New Roman" w:hAnsi="Times New Roman"/>
          <w:sz w:val="22"/>
          <w:szCs w:val="22"/>
          <w:lang w:eastAsia="zh-CN"/>
        </w:rPr>
        <w:t>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115"/>
        <w:numPr>
          <w:ilvl w:val="0"/>
          <w:numId w:val="7"/>
        </w:numPr>
        <w:overflowPunct w:val="0"/>
        <w:autoSpaceDE w:val="0"/>
        <w:autoSpaceDN w:val="0"/>
        <w:adjustRightInd w:val="0"/>
        <w:spacing w:after="180" w:line="240" w:lineRule="auto"/>
        <w:contextualSpacing/>
        <w:textAlignment w:val="baseline"/>
      </w:pPr>
      <w: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115"/>
        <w:numPr>
          <w:ilvl w:val="1"/>
          <w:numId w:val="7"/>
        </w:numPr>
        <w:overflowPunct w:val="0"/>
        <w:autoSpaceDE w:val="0"/>
        <w:autoSpaceDN w:val="0"/>
        <w:adjustRightInd w:val="0"/>
        <w:spacing w:after="180" w:line="240" w:lineRule="auto"/>
        <w:contextualSpacing/>
        <w:textAlignment w:val="baseline"/>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pPr>
        <w:pStyle w:val="32"/>
        <w:spacing w:after="0"/>
        <w:rPr>
          <w:rFonts w:ascii="Times New Roman" w:hAnsi="Times New Roman"/>
          <w:sz w:val="22"/>
          <w:szCs w:val="22"/>
          <w:lang w:eastAsia="zh-CN"/>
        </w:rPr>
      </w:pPr>
    </w:p>
    <w:p>
      <w:pPr>
        <w:pStyle w:val="32"/>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No change for 120 kHz SCS SSB.</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pPr>
              <w:pStyle w:val="32"/>
              <w:spacing w:before="120" w:after="0" w:line="280" w:lineRule="atLeast"/>
              <w:rPr>
                <w:rFonts w:hint="eastAsia"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top"/>
          </w:tcPr>
          <w:p>
            <w:pPr>
              <w:pStyle w:val="32"/>
              <w:spacing w:before="120" w:after="0" w:line="280" w:lineRule="atLeast"/>
              <w:rPr>
                <w:rFonts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242" w:type="dxa"/>
            <w:vAlign w:val="top"/>
          </w:tcPr>
          <w:p>
            <w:pPr>
              <w:widowControl w:val="0"/>
              <w:spacing w:before="180" w:line="260" w:lineRule="auto"/>
              <w:jc w:val="both"/>
              <w:rPr>
                <w:rFonts w:hint="eastAsia" w:eastAsia="宋体"/>
                <w:lang w:val="en-US" w:eastAsia="zh-CN"/>
              </w:rPr>
            </w:pPr>
            <w:r>
              <w:rPr>
                <w:rFonts w:hint="eastAsia" w:eastAsia="宋体"/>
                <w:lang w:val="en-US" w:eastAsia="zh-CN"/>
              </w:rPr>
              <w:t>For SSB 120kHz SCS, Case D can be reused.</w:t>
            </w:r>
          </w:p>
          <w:p>
            <w:pPr>
              <w:widowControl w:val="0"/>
              <w:spacing w:before="180" w:line="260" w:lineRule="auto"/>
              <w:jc w:val="both"/>
              <w:rPr>
                <w:rFonts w:hint="eastAsia" w:eastAsia="宋体"/>
                <w:lang w:val="en-US" w:eastAsia="zh-CN"/>
              </w:rPr>
            </w:pPr>
            <w:r>
              <w:rPr>
                <w:rFonts w:hint="eastAsia" w:eastAsia="宋体"/>
                <w:lang w:val="en-US" w:eastAsia="zh-CN"/>
              </w:rPr>
              <w:t>For SSB 480/960kHz SCS, a</w:t>
            </w:r>
            <w:r>
              <w:rPr>
                <w:rFonts w:hint="eastAsia" w:eastAsia="宋体"/>
                <w:lang w:val="en-US" w:eastAsia="zh"/>
              </w:rPr>
              <w:t>lthough RAN4</w:t>
            </w:r>
            <w:r>
              <w:rPr>
                <w:rFonts w:hint="eastAsia" w:eastAsia="宋体"/>
                <w:lang w:val="en-US" w:eastAsia="zh-CN"/>
              </w:rPr>
              <w:t xml:space="preserve"> in the approved </w:t>
            </w:r>
            <w:r>
              <w:rPr>
                <w:rFonts w:hint="eastAsia" w:eastAsia="宋体"/>
                <w:lang w:val="en-US" w:eastAsia="zh"/>
              </w:rPr>
              <w:t xml:space="preserve">TP R4-2103260  thinks both CPs of SCS 480 kHz and 960 kHz are feasible for beam switching, but their analysis </w:t>
            </w:r>
            <w:r>
              <w:rPr>
                <w:rFonts w:hint="eastAsia" w:eastAsia="宋体"/>
                <w:lang w:val="en-US" w:eastAsia="zh-CN"/>
              </w:rPr>
              <w:t xml:space="preserve">may be </w:t>
            </w:r>
            <w:r>
              <w:rPr>
                <w:rFonts w:hint="eastAsia" w:eastAsia="宋体"/>
                <w:lang w:val="en-US" w:eastAsia="zh"/>
              </w:rPr>
              <w:t xml:space="preserve">only from beam switching point of view. </w:t>
            </w:r>
            <w:r>
              <w:rPr>
                <w:rFonts w:hint="eastAsia" w:eastAsia="宋体"/>
                <w:lang w:val="en-US"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pPr>
              <w:widowControl w:val="0"/>
              <w:spacing w:before="180" w:line="260" w:lineRule="auto"/>
              <w:jc w:val="both"/>
              <w:rPr>
                <w:rFonts w:hint="default" w:eastAsia="宋体"/>
                <w:lang w:val="en-US" w:eastAsia="zh-CN"/>
              </w:rPr>
            </w:pPr>
            <w:r>
              <w:rPr>
                <w:rFonts w:hint="eastAsia" w:eastAsia="宋体"/>
                <w:lang w:val="en-US" w:eastAsia="zh-CN"/>
              </w:rPr>
              <w:t>In addition, we also agree to reserve some slots/symbols between SSBs for UL traffic transmission.</w:t>
            </w:r>
          </w:p>
          <w:p>
            <w:pPr>
              <w:pStyle w:val="32"/>
              <w:spacing w:before="120" w:after="0" w:line="280" w:lineRule="atLeast"/>
              <w:rPr>
                <w:rFonts w:ascii="Times New Roman" w:hAnsi="Times New Roman" w:eastAsia="宋体" w:cs="Times New Roman"/>
                <w:sz w:val="22"/>
                <w:szCs w:val="22"/>
                <w:lang w:val="en-US" w:eastAsia="zh-CN"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115"/>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pPr>
        <w:pStyle w:val="115"/>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pPr>
        <w:pStyle w:val="115"/>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hint="eastAsia" w:ascii="Times New Roman" w:hAnsi="Times New Roman"/>
          <w:sz w:val="22"/>
          <w:szCs w:val="22"/>
          <w:lang w:eastAsia="zh-CN"/>
        </w:rPr>
        <w:t>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Other SCS combinations could be precluded</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(120 kHz, 120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(480 kHz, 480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(960 kHz, 960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={24,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SCS for CORESET#0, p</w:t>
            </w:r>
            <w:r>
              <w:rPr>
                <w:rFonts w:ascii="Times New Roman" w:hAnsi="Times New Roman" w:eastAsiaTheme="minorEastAsia"/>
                <w:sz w:val="22"/>
                <w:szCs w:val="22"/>
                <w:lang w:eastAsia="ko-KR"/>
              </w:rPr>
              <w:t>refer Alt 1 (i.e., current specification)</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Type0-PDCCH configuration, prefer Alt 1, but open to discuss other number of RBs (e.g., 96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vAlign w:val="top"/>
          </w:tcPr>
          <w:p>
            <w:pPr>
              <w:pStyle w:val="32"/>
              <w:spacing w:before="120" w:after="0" w:line="280" w:lineRule="atLeast"/>
              <w:rPr>
                <w:rFonts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242" w:type="dxa"/>
            <w:vAlign w:val="top"/>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For 120kHz SSB SCS, Alt-1 is preferred.</w:t>
            </w:r>
          </w:p>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pPr>
              <w:pStyle w:val="88"/>
              <w:numPr>
                <w:ilvl w:val="2"/>
                <w:numId w:val="14"/>
              </w:numPr>
              <w:spacing w:before="180" w:line="240" w:lineRule="auto"/>
              <w:jc w:val="both"/>
              <w:textAlignment w:val="auto"/>
              <w:rPr>
                <w:lang w:eastAsia="zh-CN"/>
              </w:rPr>
            </w:pPr>
            <w:r>
              <w:rPr>
                <w:lang w:eastAsia="zh-CN"/>
              </w:rPr>
              <w:t>Note: coverage enhancement for SSB is not pursued.</w:t>
            </w:r>
          </w:p>
          <w:p>
            <w:pPr>
              <w:pStyle w:val="32"/>
              <w:spacing w:before="120"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242" w:type="dxa"/>
          </w:tcPr>
          <w:p>
            <w:pPr>
              <w:pStyle w:val="32"/>
              <w:spacing w:before="120" w:after="0" w:line="280" w:lineRule="atLeast"/>
              <w:rPr>
                <w:rFonts w:hint="default"/>
                <w:szCs w:val="22"/>
                <w:lang w:val="en-US" w:eastAsia="zh-CN"/>
              </w:rPr>
            </w:pPr>
            <w:r>
              <w:rPr>
                <w:rFonts w:hint="eastAsia"/>
                <w:szCs w:val="22"/>
                <w:lang w:val="en-US" w:eastAsia="zh-CN"/>
              </w:rPr>
              <w:t>These issues are in low priority and can be discussed later.</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r>
      <w:r>
        <w:rPr>
          <w:rFonts w:ascii="Times New Roman" w:hAnsi="Times New Roman"/>
          <w:sz w:val="22"/>
          <w:szCs w:val="22"/>
          <w:lang w:eastAsia="zh-CN"/>
        </w:rPr>
        <w:t>For cases other than initial access (e.g. for a SCell or PSCell), if SS/PBCH block with 480 and 960 kHz SCS is supported, support PRACH with the same SCS as the UL BWP.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hint="eastAsia" w:ascii="Times New Roman" w:hAnsi="Times New Roman"/>
          <w:sz w:val="22"/>
          <w:szCs w:val="22"/>
          <w:lang w:eastAsia="zh-CN"/>
        </w:rPr>
        <w:t>PRACH</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hint="eastAsia" w:ascii="Times New Roman" w:hAnsi="Times New Roman"/>
          <w:sz w:val="22"/>
          <w:szCs w:val="22"/>
          <w:lang w:eastAsia="zh-CN"/>
        </w:rPr>
        <w:t>(480kHz and/or 960kHz)</w:t>
      </w:r>
      <w:r>
        <w:rPr>
          <w:rFonts w:ascii="Times New Roman" w:hAnsi="Times New Roman"/>
          <w:sz w:val="22"/>
          <w:szCs w:val="22"/>
          <w:lang w:eastAsia="zh-CN"/>
        </w:rPr>
        <w:t xml:space="preserve"> </w:t>
      </w:r>
      <w:r>
        <w:rPr>
          <w:rFonts w:hint="eastAsia" w:ascii="Times New Roman" w:hAnsi="Times New Roman"/>
          <w:sz w:val="22"/>
          <w:szCs w:val="22"/>
          <w:lang w:eastAsia="zh-CN"/>
        </w:rPr>
        <w:t>for PRACH and</w:t>
      </w:r>
      <w:r>
        <w:rPr>
          <w:rFonts w:ascii="Times New Roman" w:hAnsi="Times New Roman"/>
          <w:sz w:val="22"/>
          <w:szCs w:val="22"/>
          <w:lang w:eastAsia="zh-CN"/>
        </w:rPr>
        <w:t xml:space="preserve"> SSB </w:t>
      </w:r>
      <w:r>
        <w:rPr>
          <w:rFonts w:hint="eastAsia" w:ascii="Times New Roman" w:hAnsi="Times New Roman"/>
          <w:sz w:val="22"/>
          <w:szCs w:val="22"/>
          <w:lang w:eastAsia="zh-CN"/>
        </w:rPr>
        <w:t>if</w:t>
      </w:r>
      <w:r>
        <w:rPr>
          <w:rFonts w:ascii="Times New Roman" w:hAnsi="Times New Roman"/>
          <w:sz w:val="22"/>
          <w:szCs w:val="22"/>
          <w:lang w:eastAsia="zh-CN"/>
        </w:rPr>
        <w:t xml:space="preserve"> single subcarrier spacing is supported.</w:t>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pPr>
        <w:pStyle w:val="32"/>
        <w:spacing w:after="0"/>
        <w:rPr>
          <w:rFonts w:ascii="Times New Roman" w:hAnsi="Times New Roman"/>
          <w:sz w:val="22"/>
          <w:szCs w:val="22"/>
          <w:lang w:eastAsia="zh-CN"/>
        </w:rPr>
      </w:pPr>
    </w:p>
    <w:p>
      <w:pPr>
        <w:pStyle w:val="32"/>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added the related proposal </w:t>
            </w:r>
            <w:r>
              <w:rPr>
                <w:rFonts w:ascii="Times New Roman" w:hAnsi="Times New Roman" w:eastAsiaTheme="minorEastAsia"/>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p>
        </w:tc>
        <w:tc>
          <w:tcPr>
            <w:tcW w:w="8242" w:type="dxa"/>
          </w:tcPr>
          <w:p>
            <w:pPr>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For</w:t>
            </w:r>
            <w:r>
              <w:rPr>
                <w:rFonts w:ascii="Times" w:hAnsi="Times" w:eastAsia="Batang" w:cs="Times"/>
                <w:color w:val="C00000"/>
                <w:sz w:val="22"/>
                <w:szCs w:val="22"/>
                <w:lang w:val="en-GB" w:eastAsia="zh-CN"/>
              </w:rPr>
              <w:t xml:space="preserve"> </w:t>
            </w:r>
            <w:r>
              <w:rPr>
                <w:rFonts w:ascii="Times" w:hAnsi="Times" w:eastAsia="Batang" w:cs="Times"/>
                <w:sz w:val="22"/>
                <w:szCs w:val="22"/>
                <w:lang w:val="en-GB" w:eastAsia="zh-CN"/>
              </w:rPr>
              <w:t xml:space="preserve">non-initial access use cases we propose support following (in addition to the 120kHz): </w:t>
            </w:r>
          </w:p>
          <w:p>
            <w:pPr>
              <w:numPr>
                <w:ilvl w:val="1"/>
                <w:numId w:val="7"/>
              </w:numPr>
              <w:tabs>
                <w:tab w:val="left" w:pos="1080"/>
              </w:tabs>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Support 480 and 960 kHz PRACH SCS with sequence length L=139 for PRACH Formats A1~A3, B1~B4, C0, and C2, respectively.</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see strong need to support L=571 and 1151 with 480kHz or 960kHz sub-carrier spacing.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Noting also that initial versus non-initial is not very well defined from RACH perspective, as in all cases, the UE is basically transmitting RACH. In our understanding at least following scenarios would be covered:</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RRC Connection Re-establishment after radio link failure (RRC_CONNECTED)</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Handover (RRC_CONNECTED)</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with non-synchronized UL</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data arrival when the UE is in RRC_CONNECTED state, with non-synchronized UL</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and no SR resources</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UE sends a scheduling request in response to UL data arrival but fails to receive an UL grant from the network (RRC_CONNECTED)</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Transition from RRC_INACTIVE state to RRC_CONNECTED state</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Establishing time alignment when adding SCell (RRC_CONNECTED)</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Request of Other SI (RRC_IDLE or RRC_INACTIVE)</w:t>
            </w:r>
          </w:p>
          <w:p>
            <w:pPr>
              <w:pStyle w:val="32"/>
              <w:numPr>
                <w:ilvl w:val="0"/>
                <w:numId w:val="16"/>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Beam failure recovery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overflowPunct/>
              <w:autoSpaceDE/>
              <w:autoSpaceDN/>
              <w:adjustRightInd/>
              <w:spacing w:before="120" w:after="0" w:line="240" w:lineRule="auto"/>
              <w:jc w:val="both"/>
              <w:textAlignment w:val="auto"/>
              <w:rPr>
                <w:sz w:val="22"/>
                <w:szCs w:val="22"/>
                <w:lang w:eastAsia="zh-CN"/>
              </w:rPr>
            </w:pPr>
            <w:r>
              <w:rPr>
                <w:rFonts w:ascii="Times" w:hAnsi="Times" w:cs="Times"/>
                <w:sz w:val="22"/>
                <w:szCs w:val="22"/>
                <w:lang w:val="en-GB" w:eastAsia="zh-CN"/>
              </w:rPr>
              <w:t>We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pPr>
              <w:overflowPunct/>
              <w:autoSpaceDE/>
              <w:autoSpaceDN/>
              <w:adjustRightInd/>
              <w:spacing w:before="120" w:after="0" w:line="240" w:lineRule="auto"/>
              <w:jc w:val="both"/>
              <w:textAlignment w:val="auto"/>
              <w:rPr>
                <w:rFonts w:hint="eastAsia"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242"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bl>
    <w:p>
      <w:pPr>
        <w:pStyle w:val="89"/>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sequence length 571 and 1151 for PRACH in non-initial use cases.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 Sharp, ZTE (non-initial access), Sanechip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120"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1"/>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2"/>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34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hint="eastAsia" w:ascii="Times New Roman" w:hAnsi="Times New Roman" w:eastAsiaTheme="minorEastAsia"/>
                <w:sz w:val="22"/>
                <w:szCs w:val="22"/>
                <w:lang w:eastAsia="ko-KR"/>
              </w:rPr>
              <w:t xml:space="preserve">s mentioned in 2.2.1, </w:t>
            </w:r>
            <w:r>
              <w:rPr>
                <w:rFonts w:ascii="Times New Roman" w:hAnsi="Times New Roman" w:eastAsiaTheme="minorEastAsia"/>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hAnsi="Times New Roman" w:eastAsiaTheme="minorEastAsia"/>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347" w:type="dxa"/>
          </w:tcPr>
          <w:p>
            <w:pPr>
              <w:pStyle w:val="32"/>
              <w:spacing w:before="120" w:after="0" w:line="280" w:lineRule="atLeast"/>
              <w:rPr>
                <w:rFonts w:hint="eastAsia" w:ascii="Times New Roman" w:hAnsi="Times New Roman"/>
                <w:szCs w:val="22"/>
                <w:lang w:val="en-US" w:eastAsia="zh-CN"/>
              </w:rPr>
            </w:pPr>
            <w:r>
              <w:rPr>
                <w:rFonts w:hint="eastAsia" w:ascii="Times New Roman" w:hAnsi="Times New Roman"/>
                <w:szCs w:val="22"/>
                <w:lang w:val="en-US" w:eastAsia="zh-CN"/>
              </w:rPr>
              <w:t>We support moderator</w:t>
            </w:r>
            <w:r>
              <w:rPr>
                <w:rFonts w:hint="default" w:ascii="Times New Roman" w:hAnsi="Times New Roman"/>
                <w:szCs w:val="22"/>
                <w:lang w:val="en-US" w:eastAsia="zh-CN"/>
              </w:rPr>
              <w:t>’</w:t>
            </w:r>
            <w:r>
              <w:rPr>
                <w:rFonts w:hint="eastAsia" w:ascii="Times New Roman" w:hAnsi="Times New Roman"/>
                <w:szCs w:val="22"/>
                <w:lang w:val="en-US" w:eastAsia="zh-CN"/>
              </w:rPr>
              <w:t xml:space="preserve">s suggestion. </w:t>
            </w:r>
          </w:p>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For initial access, we prefer Alt2.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hint="eastAsia" w:ascii="Times New Roman" w:hAnsi="Times New Roman"/>
          <w:sz w:val="22"/>
          <w:szCs w:val="22"/>
          <w:lang w:eastAsia="zh-CN"/>
        </w:rPr>
        <w:t xml:space="preserve"> or which one(s) of the eight 960</w:t>
      </w:r>
      <w:r>
        <w:rPr>
          <w:rFonts w:ascii="Times New Roman" w:hAnsi="Times New Roman"/>
          <w:sz w:val="22"/>
          <w:szCs w:val="22"/>
          <w:lang w:eastAsia="zh-CN"/>
        </w:rPr>
        <w:t xml:space="preserve"> </w:t>
      </w:r>
      <w:r>
        <w:rPr>
          <w:rFonts w:hint="eastAsia" w:ascii="Times New Roman" w:hAnsi="Times New Roman"/>
          <w:sz w:val="22"/>
          <w:szCs w:val="22"/>
          <w:lang w:eastAsia="zh-CN"/>
        </w:rPr>
        <w:t>khz ROs within a 120</w:t>
      </w:r>
      <w:r>
        <w:rPr>
          <w:rFonts w:ascii="Times New Roman" w:hAnsi="Times New Roman"/>
          <w:sz w:val="22"/>
          <w:szCs w:val="22"/>
          <w:lang w:eastAsia="zh-CN"/>
        </w:rPr>
        <w:t xml:space="preserve"> </w:t>
      </w:r>
      <w:r>
        <w:rPr>
          <w:rFonts w:hint="eastAsia" w:ascii="Times New Roman" w:hAnsi="Times New Roman"/>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pPr>
        <w:pStyle w:val="32"/>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Samsung, LGE, Fujitsu, vivo, Huawei, HiSilicon, [Nokia, NSB]</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pPr>
        <w:pStyle w:val="32"/>
        <w:spacing w:after="0"/>
        <w:rPr>
          <w:rFonts w:ascii="Times New Roman" w:hAnsi="Times New Roman"/>
          <w:sz w:val="22"/>
          <w:szCs w:val="22"/>
          <w:lang w:eastAsia="zh-CN"/>
        </w:rPr>
      </w:pPr>
    </w:p>
    <w:p>
      <w:pPr>
        <w:pStyle w:val="32"/>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242"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24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fine to support non-consecutive RO’s if they are needed from channel access perspective. For beam switching gap, we would agree with LGE to wait for RAN4 response.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242" w:type="dxa"/>
          </w:tcPr>
          <w:p>
            <w:pPr>
              <w:pStyle w:val="32"/>
              <w:spacing w:before="120" w:after="0" w:line="280" w:lineRule="atLeast"/>
              <w:rPr>
                <w:rFonts w:hint="eastAsia" w:ascii="Times New Roman" w:hAnsi="Times New Roman"/>
                <w:szCs w:val="22"/>
                <w:lang w:val="en-US" w:eastAsia="zh-CN"/>
              </w:rPr>
            </w:pPr>
            <w:r>
              <w:rPr>
                <w:rFonts w:hint="eastAsia" w:ascii="Times New Roman" w:hAnsi="Times New Roman"/>
                <w:szCs w:val="22"/>
                <w:lang w:val="en-US" w:eastAsia="zh-CN"/>
              </w:rPr>
              <w:t xml:space="preserve">For the purpose of LBT, it depends on whether PRACH signals can fulfill the short control signaling exemption requirements, and it is being discussed in channel access AI, we can wait for the conclusion. </w:t>
            </w:r>
          </w:p>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For the purpose of beam switching, we need to wait for the feedback from RAN4.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w:t>
      </w:r>
      <w:r>
        <w:rPr>
          <w:rFonts w:ascii="Times New Roman" w:hAnsi="Times New Roman"/>
          <w:sz w:val="22"/>
          <w:szCs w:val="22"/>
          <w:lang w:eastAsia="zh-CN"/>
        </w:rPr>
        <w:t>transmission</w:t>
      </w:r>
      <w:r>
        <w:rPr>
          <w:rFonts w:hint="eastAsia" w:ascii="Times New Roman" w:hAnsi="Times New Roman"/>
          <w:sz w:val="22"/>
          <w:szCs w:val="22"/>
          <w:lang w:eastAsia="zh-CN"/>
        </w:rPr>
        <w:t xml:space="preserve"> on SCS=480KHz/960KHz uplink, RA-RNTI is divided  into two parts </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O</w:t>
      </w:r>
      <w:r>
        <w:rPr>
          <w:rFonts w:hint="eastAsia" w:ascii="Times New Roman" w:hAnsi="Times New Roman"/>
          <w:sz w:val="22"/>
          <w:szCs w:val="22"/>
          <w:lang w:eastAsia="zh-CN"/>
        </w:rPr>
        <w:t xml:space="preserve">ne part </w:t>
      </w:r>
      <w:r>
        <w:rPr>
          <w:rFonts w:ascii="Times New Roman" w:hAnsi="Times New Roman"/>
          <w:sz w:val="22"/>
          <w:szCs w:val="22"/>
          <w:lang w:eastAsia="zh-CN"/>
        </w:rPr>
        <w:t>of RA</w:t>
      </w:r>
      <w:r>
        <w:rPr>
          <w:rFonts w:hint="eastAsia" w:ascii="Times New Roman" w:hAnsi="Times New Roman"/>
          <w:sz w:val="22"/>
          <w:szCs w:val="22"/>
          <w:lang w:eastAsia="zh-CN"/>
        </w:rPr>
        <w:t>-</w:t>
      </w:r>
      <w:r>
        <w:rPr>
          <w:rFonts w:ascii="Times New Roman" w:hAnsi="Times New Roman"/>
          <w:sz w:val="22"/>
          <w:szCs w:val="22"/>
          <w:lang w:eastAsia="zh-CN"/>
        </w:rPr>
        <w:t>RNTI is carried by</w:t>
      </w:r>
      <w:r>
        <w:rPr>
          <w:rFonts w:hint="eastAsia" w:ascii="Times New Roman" w:hAnsi="Times New Roman"/>
          <w:sz w:val="22"/>
          <w:szCs w:val="22"/>
          <w:lang w:eastAsia="zh-CN"/>
        </w:rPr>
        <w:t xml:space="preserve"> DCI IE, </w:t>
      </w:r>
      <w:r>
        <w:rPr>
          <w:rFonts w:ascii="Times New Roman" w:hAnsi="Times New Roman"/>
          <w:sz w:val="22"/>
          <w:szCs w:val="22"/>
          <w:lang w:eastAsia="zh-CN"/>
        </w:rPr>
        <w:t>and remaining</w:t>
      </w:r>
      <w:r>
        <w:rPr>
          <w:rFonts w:hint="eastAsia" w:ascii="Times New Roman" w:hAnsi="Times New Roman"/>
          <w:sz w:val="22"/>
          <w:szCs w:val="22"/>
          <w:lang w:eastAsia="zh-CN"/>
        </w:rPr>
        <w:t xml:space="preserve"> RA-RNTI</w:t>
      </w:r>
      <w:r>
        <w:rPr>
          <w:rFonts w:ascii="Times New Roman" w:hAnsi="Times New Roman"/>
          <w:sz w:val="22"/>
          <w:szCs w:val="22"/>
          <w:lang w:eastAsia="zh-CN"/>
        </w:rPr>
        <w:t xml:space="preserve"> will be used to</w:t>
      </w:r>
      <w:r>
        <w:rPr>
          <w:rFonts w:hint="eastAsia" w:ascii="Times New Roman" w:hAnsi="Times New Roman"/>
          <w:sz w:val="22"/>
          <w:szCs w:val="22"/>
          <w:lang w:eastAsia="zh-CN"/>
        </w:rPr>
        <w:t xml:space="preserve"> </w:t>
      </w:r>
      <w:r>
        <w:rPr>
          <w:rFonts w:ascii="Times New Roman" w:hAnsi="Times New Roman"/>
          <w:sz w:val="22"/>
          <w:szCs w:val="22"/>
          <w:lang w:eastAsia="zh-CN"/>
        </w:rPr>
        <w:t>scramble the</w:t>
      </w:r>
      <w:r>
        <w:rPr>
          <w:rFonts w:hint="eastAsia" w:ascii="Times New Roman" w:hAnsi="Times New Roman"/>
          <w:sz w:val="22"/>
          <w:szCs w:val="22"/>
          <w:lang w:eastAsia="zh-CN"/>
        </w:rPr>
        <w:t xml:space="preserve"> DCI as </w:t>
      </w:r>
      <w:r>
        <w:rPr>
          <w:rFonts w:ascii="Times New Roman" w:hAnsi="Times New Roman"/>
          <w:sz w:val="22"/>
          <w:szCs w:val="22"/>
          <w:lang w:eastAsia="zh-CN"/>
        </w:rPr>
        <w:t xml:space="preserve">in </w:t>
      </w:r>
      <w:r>
        <w:rPr>
          <w:rFonts w:hint="eastAsia" w:ascii="Times New Roman" w:hAnsi="Times New Roman"/>
          <w:sz w:val="22"/>
          <w:szCs w:val="22"/>
          <w:lang w:eastAsia="zh-CN"/>
        </w:rPr>
        <w:t>R15/R16</w:t>
      </w:r>
      <w:r>
        <w:rPr>
          <w:rFonts w:ascii="Times New Roman" w:hAnsi="Times New Roman"/>
          <w:sz w:val="22"/>
          <w:szCs w:val="22"/>
          <w:lang w:eastAsia="zh-CN"/>
        </w:rPr>
        <w:t>. Two</w:t>
      </w:r>
      <w:r>
        <w:rPr>
          <w:rFonts w:hint="eastAsia" w:ascii="Times New Roman" w:hAnsi="Times New Roman"/>
          <w:sz w:val="22"/>
          <w:szCs w:val="22"/>
          <w:lang w:eastAsia="zh-CN"/>
        </w:rPr>
        <w:t xml:space="preserve"> possible </w:t>
      </w:r>
      <w:r>
        <w:rPr>
          <w:rFonts w:ascii="Times New Roman" w:hAnsi="Times New Roman"/>
          <w:sz w:val="22"/>
          <w:szCs w:val="22"/>
          <w:lang w:eastAsia="zh-CN"/>
        </w:rPr>
        <w:t>options</w:t>
      </w:r>
      <w:r>
        <w:rPr>
          <w:rFonts w:hint="eastAsia" w:ascii="Times New Roman" w:hAnsi="Times New Roman"/>
          <w:sz w:val="22"/>
          <w:szCs w:val="22"/>
          <w:lang w:eastAsia="zh-CN"/>
        </w:rPr>
        <w:t xml:space="preserve"> as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hint="eastAsia" w:ascii="Times New Roman" w:hAnsi="Times New Roman"/>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hint="eastAsia" w:ascii="Times New Roman" w:hAnsi="Times New Roman"/>
          <w:sz w:val="22"/>
          <w:szCs w:val="22"/>
          <w:lang w:eastAsia="zh-CN"/>
        </w:rPr>
        <w:t>(</w:t>
      </w:r>
      <w:r>
        <w:rPr>
          <w:rFonts w:ascii="Times New Roman" w:hAnsi="Times New Roman"/>
          <w:sz w:val="22"/>
          <w:szCs w:val="22"/>
          <w:lang w:eastAsia="zh-CN"/>
        </w:rPr>
        <w:t>t_id</w:t>
      </w:r>
      <w:r>
        <w:rPr>
          <w:rFonts w:hint="eastAsia" w:ascii="Times New Roman" w:hAnsi="Times New Roman"/>
          <w:sz w:val="22"/>
          <w:szCs w:val="22"/>
          <w:lang w:eastAsia="zh-CN"/>
        </w:rPr>
        <w:t xml:space="preserve"> mod 80)</w:t>
      </w:r>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carrier 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fldChar w:fldCharType="end"/>
      </w: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hint="eastAsia"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higher </w:t>
      </w:r>
      <w:r>
        <w:rPr>
          <w:rFonts w:hint="eastAsia" w:ascii="Times New Roman" w:hAnsi="Times New Roman"/>
          <w:sz w:val="22"/>
          <w:szCs w:val="22"/>
          <w:lang w:eastAsia="zh-CN"/>
        </w:rPr>
        <w:t>P</w:t>
      </w:r>
      <w:r>
        <w:rPr>
          <w:rFonts w:ascii="Times New Roman" w:hAnsi="Times New Roman"/>
          <w:sz w:val="22"/>
          <w:szCs w:val="22"/>
          <w:lang w:eastAsia="zh-CN"/>
        </w:rPr>
        <w:t>RACH SCS (480 and</w:t>
      </w:r>
      <w:r>
        <w:rPr>
          <w:rFonts w:hint="eastAsia" w:ascii="Times New Roman" w:hAnsi="Times New Roman"/>
          <w:sz w:val="22"/>
          <w:szCs w:val="22"/>
          <w:lang w:eastAsia="zh-CN"/>
        </w:rPr>
        <w:t>/or</w:t>
      </w:r>
      <w:r>
        <w:rPr>
          <w:rFonts w:ascii="Times New Roman" w:hAnsi="Times New Roman"/>
          <w:sz w:val="22"/>
          <w:szCs w:val="22"/>
          <w:lang w:eastAsia="zh-CN"/>
        </w:rPr>
        <w:t xml:space="preserve"> 960 kHz), consider the following options for RA-RNTI enhancements: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hint="eastAsia" w:ascii="Times New Roman" w:hAnsi="Times New Roman"/>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pPr>
        <w:pStyle w:val="32"/>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jc w:val="center"/>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242" w:type="dxa"/>
          </w:tcPr>
          <w:p>
            <w:pPr>
              <w:pStyle w:val="32"/>
              <w:spacing w:before="120" w:after="0" w:line="280" w:lineRule="atLeast"/>
              <w:rPr>
                <w:rFonts w:hint="eastAsia" w:ascii="Times New Roman" w:hAnsi="Times New Roman"/>
                <w:szCs w:val="22"/>
                <w:lang w:val="en-US" w:eastAsia="zh-CN"/>
              </w:rPr>
            </w:pPr>
            <w:r>
              <w:rPr>
                <w:rFonts w:hint="eastAsia" w:ascii="Times New Roman" w:hAnsi="Times New Roman"/>
                <w:szCs w:val="22"/>
                <w:lang w:val="en-US" w:eastAsia="zh-CN"/>
              </w:rPr>
              <w:t>We support moderator</w:t>
            </w:r>
            <w:r>
              <w:rPr>
                <w:rFonts w:hint="default" w:ascii="Times New Roman" w:hAnsi="Times New Roman"/>
                <w:szCs w:val="22"/>
                <w:lang w:val="en-US" w:eastAsia="zh-CN"/>
              </w:rPr>
              <w:t>’</w:t>
            </w:r>
            <w:r>
              <w:rPr>
                <w:rFonts w:hint="eastAsia" w:ascii="Times New Roman" w:hAnsi="Times New Roman"/>
                <w:szCs w:val="22"/>
                <w:lang w:val="en-US" w:eastAsia="zh-CN"/>
              </w:rPr>
              <w:t xml:space="preserve">s proposal. </w:t>
            </w:r>
          </w:p>
          <w:p>
            <w:pPr>
              <w:pStyle w:val="32"/>
              <w:spacing w:before="120" w:after="0" w:line="280" w:lineRule="atLeast"/>
              <w:rPr>
                <w:rFonts w:hint="eastAsia" w:ascii="Times New Roman" w:hAnsi="Times New Roman"/>
                <w:szCs w:val="22"/>
                <w:lang w:val="en-US" w:eastAsia="zh-CN"/>
              </w:rPr>
            </w:pPr>
            <w:r>
              <w:rPr>
                <w:rFonts w:hint="eastAsia" w:ascii="Times New Roman" w:hAnsi="Times New Roman"/>
                <w:szCs w:val="22"/>
                <w:lang w:val="en-US" w:eastAsia="zh-CN"/>
              </w:rPr>
              <w:t>For option 3, we sugggest the following modification:</w:t>
            </w:r>
          </w:p>
          <w:p>
            <w:pPr>
              <w:pStyle w:val="32"/>
              <w:numPr>
                <w:ilvl w:val="1"/>
                <w:numId w:val="7"/>
              </w:numPr>
              <w:spacing w:after="0"/>
              <w:rPr>
                <w:rFonts w:hint="default" w:ascii="Times New Roman" w:hAnsi="Times New Roman"/>
                <w:szCs w:val="22"/>
                <w:lang w:val="en-US"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dstrike w:val="0"/>
                <w:sz w:val="22"/>
                <w:szCs w:val="22"/>
                <w:lang w:eastAsia="zh-CN"/>
              </w:rPr>
              <w:t>in RAR</w:t>
            </w:r>
            <w:bookmarkStart w:id="2" w:name="_GoBack"/>
            <w:bookmarkEnd w:id="2"/>
          </w:p>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Regarding Ericsson</w:t>
            </w:r>
            <w:r>
              <w:rPr>
                <w:rFonts w:hint="default" w:ascii="Times New Roman" w:hAnsi="Times New Roman"/>
                <w:szCs w:val="22"/>
                <w:lang w:val="en-US" w:eastAsia="zh-CN"/>
              </w:rPr>
              <w:t>’</w:t>
            </w:r>
            <w:r>
              <w:rPr>
                <w:rFonts w:hint="eastAsia" w:ascii="Times New Roman" w:hAnsi="Times New Roman"/>
                <w:szCs w:val="22"/>
                <w:lang w:val="en-US"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34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Moderator Proposals and Conclusions</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#104bis-e</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pPr>
        <w:pStyle w:val="115"/>
        <w:numPr>
          <w:ilvl w:val="0"/>
          <w:numId w:val="18"/>
        </w:numPr>
        <w:ind w:left="540" w:hanging="540"/>
        <w:rPr>
          <w:rFonts w:eastAsia="Calibri"/>
          <w:lang w:eastAsia="zh-CN"/>
        </w:rPr>
      </w:pPr>
      <w:r>
        <w:rPr>
          <w:rFonts w:eastAsia="Calibri"/>
          <w:lang w:eastAsia="zh-CN"/>
        </w:rPr>
        <w:t>R1-2102385, “Discussion on initial access aspects,” OPPO</w:t>
      </w:r>
    </w:p>
    <w:p>
      <w:pPr>
        <w:pStyle w:val="115"/>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pPr>
        <w:pStyle w:val="115"/>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pPr>
        <w:pStyle w:val="115"/>
        <w:numPr>
          <w:ilvl w:val="0"/>
          <w:numId w:val="18"/>
        </w:numPr>
        <w:ind w:left="540" w:hanging="540"/>
        <w:rPr>
          <w:rFonts w:eastAsia="Calibri"/>
          <w:lang w:eastAsia="zh-CN"/>
        </w:rPr>
      </w:pPr>
      <w:r>
        <w:rPr>
          <w:rFonts w:eastAsia="Calibri"/>
          <w:lang w:eastAsia="zh-CN"/>
        </w:rPr>
        <w:t>R1-2102558, “Initial access aspects,” Nokia, Nokia Shanghai Bell</w:t>
      </w:r>
    </w:p>
    <w:p>
      <w:pPr>
        <w:pStyle w:val="115"/>
        <w:numPr>
          <w:ilvl w:val="0"/>
          <w:numId w:val="18"/>
        </w:numPr>
        <w:ind w:left="540" w:hanging="540"/>
        <w:rPr>
          <w:rFonts w:eastAsia="Calibri"/>
          <w:lang w:eastAsia="zh-CN"/>
        </w:rPr>
      </w:pPr>
      <w:r>
        <w:rPr>
          <w:rFonts w:eastAsia="Calibri"/>
          <w:lang w:eastAsia="zh-CN"/>
        </w:rPr>
        <w:t>R1-2102621, “Initial access aspects for up to 71GHz operation,” CATT</w:t>
      </w:r>
    </w:p>
    <w:p>
      <w:pPr>
        <w:pStyle w:val="115"/>
        <w:numPr>
          <w:ilvl w:val="0"/>
          <w:numId w:val="18"/>
        </w:numPr>
        <w:ind w:left="540" w:hanging="540"/>
        <w:rPr>
          <w:rFonts w:eastAsia="Calibri"/>
          <w:lang w:eastAsia="zh-CN"/>
        </w:rPr>
      </w:pPr>
      <w:r>
        <w:rPr>
          <w:rFonts w:eastAsia="Calibri"/>
          <w:lang w:eastAsia="zh-CN"/>
        </w:rPr>
        <w:t>R1-2102688, “Discussion on initial access of 52.6-71 GHz NR operation,” MediaTek Inc.</w:t>
      </w:r>
    </w:p>
    <w:p>
      <w:pPr>
        <w:pStyle w:val="115"/>
        <w:numPr>
          <w:ilvl w:val="0"/>
          <w:numId w:val="18"/>
        </w:numPr>
        <w:ind w:left="540" w:hanging="540"/>
        <w:rPr>
          <w:rFonts w:eastAsia="Calibri"/>
          <w:lang w:eastAsia="zh-CN"/>
        </w:rPr>
      </w:pPr>
      <w:r>
        <w:rPr>
          <w:rFonts w:eastAsia="Calibri"/>
          <w:lang w:eastAsia="zh-CN"/>
        </w:rPr>
        <w:t>R1-2102715, “Considerations on initial access for NR from 52.6GHz to 71 GHz,” Fujitsu</w:t>
      </w:r>
    </w:p>
    <w:p>
      <w:pPr>
        <w:pStyle w:val="115"/>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pPr>
        <w:pStyle w:val="115"/>
        <w:numPr>
          <w:ilvl w:val="0"/>
          <w:numId w:val="18"/>
        </w:numPr>
        <w:ind w:left="540" w:hanging="540"/>
        <w:rPr>
          <w:rFonts w:eastAsia="Calibri"/>
          <w:lang w:eastAsia="zh-CN"/>
        </w:rPr>
      </w:pPr>
      <w:r>
        <w:rPr>
          <w:rFonts w:eastAsia="Calibri"/>
          <w:lang w:eastAsia="zh-CN"/>
        </w:rPr>
        <w:t>R1-2102788, “Initial Access Aspects,” Ericsson</w:t>
      </w:r>
    </w:p>
    <w:p>
      <w:pPr>
        <w:pStyle w:val="115"/>
        <w:numPr>
          <w:ilvl w:val="0"/>
          <w:numId w:val="18"/>
        </w:numPr>
        <w:ind w:left="540" w:hanging="540"/>
        <w:rPr>
          <w:rFonts w:eastAsia="Calibri"/>
          <w:lang w:eastAsia="zh-CN"/>
        </w:rPr>
      </w:pPr>
      <w:r>
        <w:rPr>
          <w:rFonts w:eastAsia="Calibri"/>
          <w:lang w:eastAsia="zh-CN"/>
        </w:rPr>
        <w:t>R1-2102977, “On initial access aspects for NR from 52.6GHz to 71GHz,” Xiaomi</w:t>
      </w:r>
    </w:p>
    <w:p>
      <w:pPr>
        <w:pStyle w:val="115"/>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pPr>
        <w:pStyle w:val="115"/>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pPr>
        <w:pStyle w:val="115"/>
        <w:numPr>
          <w:ilvl w:val="0"/>
          <w:numId w:val="18"/>
        </w:numPr>
        <w:ind w:left="540" w:hanging="540"/>
        <w:rPr>
          <w:rFonts w:eastAsia="Calibri"/>
          <w:lang w:eastAsia="zh-CN"/>
        </w:rPr>
      </w:pPr>
      <w:r>
        <w:rPr>
          <w:rFonts w:eastAsia="Calibri"/>
          <w:lang w:eastAsia="zh-CN"/>
        </w:rPr>
        <w:t>R1-2103096, “Discussion on Initial access signals and channels,” Apple</w:t>
      </w:r>
    </w:p>
    <w:p>
      <w:pPr>
        <w:pStyle w:val="115"/>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pPr>
        <w:pStyle w:val="115"/>
        <w:numPr>
          <w:ilvl w:val="0"/>
          <w:numId w:val="18"/>
        </w:numPr>
        <w:ind w:left="540" w:hanging="540"/>
        <w:rPr>
          <w:rFonts w:eastAsia="Calibri"/>
          <w:lang w:eastAsia="zh-CN"/>
        </w:rPr>
      </w:pPr>
      <w:r>
        <w:rPr>
          <w:rFonts w:eastAsia="Calibri"/>
          <w:lang w:eastAsia="zh-CN"/>
        </w:rPr>
        <w:t>R1-2103229, “Initial access aspects for NR from 52.6 GHz to 71 GHz,” Samsung</w:t>
      </w:r>
    </w:p>
    <w:p>
      <w:pPr>
        <w:pStyle w:val="115"/>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pPr>
        <w:pStyle w:val="115"/>
        <w:numPr>
          <w:ilvl w:val="0"/>
          <w:numId w:val="18"/>
        </w:numPr>
        <w:ind w:left="540" w:hanging="540"/>
        <w:rPr>
          <w:rFonts w:eastAsia="Calibri"/>
          <w:lang w:eastAsia="zh-CN"/>
        </w:rPr>
      </w:pPr>
      <w:r>
        <w:rPr>
          <w:rFonts w:eastAsia="Calibri"/>
          <w:lang w:eastAsia="zh-CN"/>
        </w:rPr>
        <w:t>R1-2103339, “Initial access aspects to support NR above 52.6 GHz,” LG Electronics</w:t>
      </w:r>
    </w:p>
    <w:p>
      <w:pPr>
        <w:pStyle w:val="115"/>
        <w:numPr>
          <w:ilvl w:val="0"/>
          <w:numId w:val="18"/>
        </w:numPr>
        <w:ind w:left="540" w:hanging="540"/>
        <w:rPr>
          <w:rFonts w:eastAsia="Calibri"/>
          <w:lang w:eastAsia="zh-CN"/>
        </w:rPr>
      </w:pPr>
      <w:r>
        <w:rPr>
          <w:rFonts w:eastAsia="Calibri"/>
          <w:lang w:eastAsia="zh-CN"/>
        </w:rPr>
        <w:t>R1-2103411, “NR Initial Access from 52.6 GHz to 71 GHz,” Convida Wireless</w:t>
      </w:r>
    </w:p>
    <w:p>
      <w:pPr>
        <w:pStyle w:val="115"/>
        <w:numPr>
          <w:ilvl w:val="0"/>
          <w:numId w:val="18"/>
        </w:numPr>
        <w:ind w:left="540" w:hanging="540"/>
        <w:rPr>
          <w:rFonts w:eastAsia="Calibri"/>
          <w:lang w:eastAsia="zh-CN"/>
        </w:rPr>
      </w:pPr>
      <w:r>
        <w:rPr>
          <w:rFonts w:eastAsia="Calibri"/>
          <w:lang w:eastAsia="zh-CN"/>
        </w:rPr>
        <w:t>R1-2103442, “Further Discussion of Initial Access Aspects,” AT&amp;T</w:t>
      </w:r>
    </w:p>
    <w:p>
      <w:pPr>
        <w:pStyle w:val="115"/>
        <w:numPr>
          <w:ilvl w:val="0"/>
          <w:numId w:val="18"/>
        </w:numPr>
        <w:ind w:left="540" w:hanging="540"/>
        <w:rPr>
          <w:rFonts w:eastAsia="Calibri"/>
          <w:lang w:eastAsia="zh-CN"/>
        </w:rPr>
      </w:pPr>
      <w:r>
        <w:rPr>
          <w:rFonts w:eastAsia="Calibri"/>
          <w:lang w:eastAsia="zh-CN"/>
        </w:rPr>
        <w:t>R1-2103448, “Discussions on initial access aspects,” InterDigital, Inc.</w:t>
      </w:r>
    </w:p>
    <w:p>
      <w:pPr>
        <w:pStyle w:val="115"/>
        <w:numPr>
          <w:ilvl w:val="0"/>
          <w:numId w:val="18"/>
        </w:numPr>
        <w:ind w:left="540" w:hanging="540"/>
        <w:rPr>
          <w:rFonts w:eastAsia="Calibri"/>
          <w:lang w:eastAsia="zh-CN"/>
        </w:rPr>
      </w:pPr>
      <w:r>
        <w:rPr>
          <w:rFonts w:eastAsia="Calibri"/>
          <w:lang w:eastAsia="zh-CN"/>
        </w:rPr>
        <w:t>R1-2103472, “Initial access aspects,” Sharp</w:t>
      </w:r>
    </w:p>
    <w:p>
      <w:pPr>
        <w:pStyle w:val="115"/>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pPr>
        <w:pStyle w:val="115"/>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pPr>
        <w:pStyle w:val="115"/>
        <w:numPr>
          <w:ilvl w:val="0"/>
          <w:numId w:val="18"/>
        </w:numPr>
        <w:ind w:left="540" w:hanging="540"/>
        <w:rPr>
          <w:rFonts w:eastAsia="Calibri"/>
          <w:lang w:eastAsia="zh-CN"/>
        </w:rPr>
      </w:pPr>
      <w:r>
        <w:rPr>
          <w:rFonts w:eastAsia="Calibri"/>
          <w:lang w:eastAsia="zh-CN"/>
        </w:rPr>
        <w:t>R1-2103567, “Initial access aspects for NR from 52.6 to 71 GHz,” NTT DOCOMO, INC.</w:t>
      </w:r>
    </w:p>
    <w:p>
      <w:pPr>
        <w:pStyle w:val="115"/>
        <w:numPr>
          <w:ilvl w:val="0"/>
          <w:numId w:val="18"/>
        </w:numPr>
        <w:ind w:left="540" w:hanging="540"/>
        <w:rPr>
          <w:lang w:eastAsia="zh-CN"/>
        </w:rPr>
      </w:pPr>
      <w:r>
        <w:rPr>
          <w:rFonts w:eastAsia="Calibri"/>
          <w:lang w:eastAsia="zh-CN"/>
        </w:rPr>
        <w:t>R1-2103691, “Discussion on initial access aspects for NR beyond 52.6GHz,” WILUS Inc.</w:t>
      </w:r>
    </w:p>
    <w:p>
      <w:pPr>
        <w:rPr>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36</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38</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EE33E5"/>
    <w:multiLevelType w:val="multilevel"/>
    <w:tmpl w:val="14EE33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61D78D9"/>
    <w:multiLevelType w:val="multilevel"/>
    <w:tmpl w:val="161D7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6831F0"/>
    <w:multiLevelType w:val="multilevel"/>
    <w:tmpl w:val="176831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6">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B55478"/>
    <w:multiLevelType w:val="multilevel"/>
    <w:tmpl w:val="33B554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CC65B92"/>
    <w:multiLevelType w:val="multilevel"/>
    <w:tmpl w:val="5CC65B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7D05AF6"/>
    <w:multiLevelType w:val="multilevel"/>
    <w:tmpl w:val="67D05A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C363162"/>
    <w:multiLevelType w:val="multilevel"/>
    <w:tmpl w:val="6C363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17">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uiPriority w:val="0"/>
    <w:pPr>
      <w:keepLines/>
      <w:ind w:left="1135" w:hanging="851"/>
    </w:p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LD"/>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uiPriority w:val="0"/>
    <w:pPr>
      <w:spacing w:after="0"/>
    </w:pPr>
  </w:style>
  <w:style w:type="paragraph" w:customStyle="1" w:styleId="74">
    <w:name w:val="EW"/>
    <w:basedOn w:val="70"/>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
    <w:hidden/>
    <w:semiHidden/>
    <w:qFormat/>
    <w:uiPriority w:val="99"/>
    <w:pPr>
      <w:spacing w:after="0" w:line="240" w:lineRule="auto"/>
    </w:pPr>
    <w:rPr>
      <w:rFonts w:ascii="Times New Roman" w:hAnsi="Times New Roman" w:eastAsia="宋体" w:cs="Times New Roman"/>
      <w:lang w:val="en-US" w:eastAsia="en-US" w:bidi="ar-SA"/>
    </w:rPr>
  </w:style>
  <w:style w:type="table" w:customStyle="1" w:styleId="149">
    <w:name w:val="Grid Table Light"/>
    <w:basedOn w:val="49"/>
    <w:qFormat/>
    <w:uiPriority w:val="40"/>
    <w:pPr>
      <w:spacing w:after="0" w:line="240" w:lineRule="auto"/>
    </w:pPr>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64528"/>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datastoreItem>
</file>

<file path=customXml/itemProps3.xml><?xml version="1.0" encoding="utf-8"?>
<ds:datastoreItem xmlns:ds="http://schemas.openxmlformats.org/officeDocument/2006/customXml" ds:itemID="{FEAAB201-16BF-42F9-895B-4E5E0E6E15C3}">
  <ds:schemaRefs/>
</ds:datastoreItem>
</file>

<file path=customXml/itemProps4.xml><?xml version="1.0" encoding="utf-8"?>
<ds:datastoreItem xmlns:ds="http://schemas.openxmlformats.org/officeDocument/2006/customXml" ds:itemID="{773B0EB1-B3EA-40E2-8BE0-1814B222EF81}">
  <ds:schemaRefs/>
</ds:datastoreItem>
</file>

<file path=customXml/itemProps5.xml><?xml version="1.0" encoding="utf-8"?>
<ds:datastoreItem xmlns:ds="http://schemas.openxmlformats.org/officeDocument/2006/customXml" ds:itemID="{20DC1148-3944-4FC8-A551-3121841F147B}">
  <ds:schemaRefs/>
</ds:datastoreItem>
</file>

<file path=customXml/itemProps6.xml><?xml version="1.0" encoding="utf-8"?>
<ds:datastoreItem xmlns:ds="http://schemas.openxmlformats.org/officeDocument/2006/customXml" ds:itemID="{3F12767A-18FF-4CD0-AC9E-35D3C3EEDE95}">
  <ds:schemaRefs/>
</ds:datastoreItem>
</file>

<file path=customXml/itemProps7.xml><?xml version="1.0" encoding="utf-8"?>
<ds:datastoreItem xmlns:ds="http://schemas.openxmlformats.org/officeDocument/2006/customXml" ds:itemID="{2CA43991-286D-4973-B626-12A00A7390CE}">
  <ds:schemaRefs/>
</ds:datastoreItem>
</file>

<file path=customXml/itemProps8.xml><?xml version="1.0" encoding="utf-8"?>
<ds:datastoreItem xmlns:ds="http://schemas.openxmlformats.org/officeDocument/2006/customXml" ds:itemID="{1A2EA501-BA62-4870-B161-5DA24E43AD41}">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40</Pages>
  <Words>14400</Words>
  <Characters>82084</Characters>
  <Lines>684</Lines>
  <Paragraphs>192</Paragraphs>
  <TotalTime>1</TotalTime>
  <ScaleCrop>false</ScaleCrop>
  <LinksUpToDate>false</LinksUpToDate>
  <CharactersWithSpaces>96292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#104-bis-e</cp:category>
  <dcterms:created xsi:type="dcterms:W3CDTF">2021-04-14T00:07:00Z</dcterms:created>
  <dc:creator>Daewon Lee</dc:creator>
  <dc:description>e-Meeting, April 12 – 20, 2021</dc:description>
  <cp:keywords>CTPClassification=CTP_PUBLIC:VisualMarkings=, CTPClassification=CTP_NT</cp:keywords>
  <cp:lastModifiedBy>ZTE-Ziyang</cp:lastModifiedBy>
  <cp:lastPrinted>2011-11-09T07:49:00Z</cp:lastPrinted>
  <dcterms:modified xsi:type="dcterms:W3CDTF">2021-04-14T02:07:05Z</dcterms:modified>
  <dc:subject>R1-2103802</dc:subject>
  <dc:title>Summary #1 of email discussion on initial access aspects of NR extension up to 71 GHz</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