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rsidR="008A46C5" w:rsidRPr="007130BE" w:rsidRDefault="008A46C5" w:rsidP="008A46C5">
      <w:pPr>
        <w:rPr>
          <w:rFonts w:ascii="Arial" w:hAnsi="Arial" w:cs="Arial"/>
          <w:b/>
          <w:bCs/>
          <w:sz w:val="28"/>
          <w:szCs w:val="28"/>
          <w:lang w:val="en-GB" w:eastAsia="ja-JP"/>
        </w:rPr>
      </w:pPr>
      <w:proofErr w:type="gramStart"/>
      <w:r w:rsidRPr="007130BE">
        <w:rPr>
          <w:rFonts w:ascii="Arial" w:hAnsi="Arial" w:cs="Arial"/>
          <w:b/>
          <w:bCs/>
          <w:sz w:val="28"/>
          <w:szCs w:val="28"/>
          <w:lang w:val="en-GB" w:eastAsia="ja-JP"/>
        </w:rPr>
        <w:t>e-Meeting</w:t>
      </w:r>
      <w:proofErr w:type="gramEnd"/>
      <w:r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rsidR="002F170A" w:rsidRPr="007130BE" w:rsidRDefault="002F170A" w:rsidP="002F170A">
      <w:pPr>
        <w:pStyle w:val="a4"/>
        <w:rPr>
          <w:rFonts w:eastAsia="SimSun" w:cs="Arial"/>
          <w:bCs/>
          <w:sz w:val="22"/>
          <w:szCs w:val="22"/>
          <w:lang w:val="en-GB" w:eastAsia="zh-CN"/>
        </w:rPr>
      </w:pPr>
    </w:p>
    <w:p w:rsidR="002F170A" w:rsidRPr="007130BE" w:rsidRDefault="002F170A" w:rsidP="002F170A">
      <w:pPr>
        <w:pStyle w:val="a4"/>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rsidR="002F170A" w:rsidRPr="007130BE" w:rsidRDefault="002F170A" w:rsidP="002F170A">
      <w:pPr>
        <w:pStyle w:val="a4"/>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rsidR="002F170A" w:rsidRPr="007130BE" w:rsidRDefault="002F170A" w:rsidP="002F170A">
      <w:pPr>
        <w:pStyle w:val="a4"/>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rsidR="002F170A" w:rsidRPr="007130BE" w:rsidRDefault="00A412BD" w:rsidP="00D65082">
      <w:pPr>
        <w:pStyle w:val="title1"/>
        <w:spacing w:before="180" w:after="180"/>
        <w:rPr>
          <w:lang w:val="en-GB"/>
        </w:rPr>
      </w:pPr>
      <w:r w:rsidRPr="007130BE">
        <w:rPr>
          <w:lang w:val="en-GB"/>
        </w:rPr>
        <w:t>Introduction</w:t>
      </w:r>
    </w:p>
    <w:p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rsidR="00F808DB" w:rsidRPr="007130BE" w:rsidRDefault="00F808DB" w:rsidP="002478D2">
      <w:pPr>
        <w:rPr>
          <w:rFonts w:eastAsiaTheme="minorEastAsia"/>
          <w:lang w:val="en-GB" w:eastAsia="zh-CN"/>
        </w:rPr>
      </w:pPr>
    </w:p>
    <w:p w:rsidR="00FA34AB" w:rsidRPr="007130BE" w:rsidRDefault="00F53427" w:rsidP="00D65082">
      <w:pPr>
        <w:pStyle w:val="title1"/>
        <w:spacing w:before="180" w:after="180"/>
        <w:rPr>
          <w:lang w:val="en-GB"/>
        </w:rPr>
      </w:pPr>
      <w:r w:rsidRPr="007130BE">
        <w:rPr>
          <w:lang w:val="en-GB"/>
        </w:rPr>
        <w:t xml:space="preserve"> </w:t>
      </w:r>
    </w:p>
    <w:p w:rsidR="00D039F7" w:rsidRPr="007130BE" w:rsidRDefault="00D039F7" w:rsidP="00D039F7">
      <w:pPr>
        <w:pStyle w:val="title2"/>
        <w:rPr>
          <w:sz w:val="24"/>
        </w:rPr>
      </w:pPr>
      <w:r w:rsidRPr="007130BE">
        <w:rPr>
          <w:sz w:val="24"/>
        </w:rPr>
        <w:t>Item 1: Clarification on “non-serving cell”</w:t>
      </w:r>
    </w:p>
    <w:p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rsidR="00D039F7" w:rsidRPr="007130BE" w:rsidRDefault="00D039F7" w:rsidP="00D039F7">
      <w:pPr>
        <w:spacing w:after="0"/>
        <w:rPr>
          <w:rFonts w:eastAsiaTheme="minorEastAsia"/>
          <w:b/>
          <w:bCs/>
          <w:sz w:val="18"/>
          <w:szCs w:val="18"/>
          <w:lang w:val="en-GB" w:eastAsia="zh-CN"/>
        </w:rPr>
      </w:pPr>
      <w:proofErr w:type="gramStart"/>
      <w:r w:rsidRPr="007130BE">
        <w:rPr>
          <w:rFonts w:eastAsiaTheme="minorEastAsia"/>
          <w:b/>
          <w:bCs/>
          <w:sz w:val="18"/>
          <w:szCs w:val="18"/>
          <w:lang w:val="en-GB" w:eastAsia="zh-CN"/>
        </w:rPr>
        <w:t>vivo</w:t>
      </w:r>
      <w:proofErr w:type="gramEnd"/>
    </w:p>
    <w:p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rsidR="00D039F7" w:rsidRPr="007130BE" w:rsidRDefault="00D039F7" w:rsidP="00D039F7">
      <w:pPr>
        <w:spacing w:after="0"/>
        <w:rPr>
          <w:rFonts w:eastAsiaTheme="minorEastAsia"/>
          <w:b/>
          <w:bCs/>
          <w:sz w:val="18"/>
          <w:szCs w:val="18"/>
          <w:lang w:val="en-GB" w:eastAsia="zh-CN"/>
        </w:rPr>
      </w:pPr>
    </w:p>
    <w:p w:rsidR="00D039F7" w:rsidRPr="007130BE" w:rsidRDefault="00D039F7" w:rsidP="00D039F7">
      <w:pPr>
        <w:spacing w:after="0"/>
        <w:rPr>
          <w:rFonts w:eastAsiaTheme="minorEastAsia"/>
          <w:b/>
          <w:bCs/>
          <w:szCs w:val="20"/>
          <w:lang w:val="en-GB" w:eastAsia="zh-CN"/>
        </w:rPr>
      </w:pPr>
    </w:p>
    <w:p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rsidR="00D039F7" w:rsidRPr="007130BE" w:rsidRDefault="00D039F7" w:rsidP="00D039F7">
      <w:pPr>
        <w:spacing w:after="0"/>
        <w:rPr>
          <w:rFonts w:eastAsiaTheme="minorEastAsia"/>
          <w:bCs/>
          <w:szCs w:val="20"/>
          <w:lang w:val="en-GB" w:eastAsia="zh-CN"/>
        </w:rPr>
      </w:pPr>
    </w:p>
    <w:p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rsidR="00D039F7" w:rsidRPr="007130BE" w:rsidRDefault="00D039F7" w:rsidP="00D039F7">
      <w:pPr>
        <w:spacing w:after="0"/>
        <w:rPr>
          <w:rFonts w:eastAsiaTheme="minorEastAsia"/>
          <w:b/>
          <w:bCs/>
          <w:sz w:val="18"/>
          <w:szCs w:val="18"/>
          <w:lang w:val="en-GB" w:eastAsia="zh-CN"/>
        </w:rPr>
      </w:pPr>
    </w:p>
    <w:p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rsidTr="007130BE">
        <w:tc>
          <w:tcPr>
            <w:tcW w:w="1255" w:type="dxa"/>
            <w:shd w:val="clear" w:color="auto" w:fill="5B9BD5" w:themeFill="accent1"/>
          </w:tcPr>
          <w:p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rsidTr="007130BE">
        <w:tc>
          <w:tcPr>
            <w:tcW w:w="1255" w:type="dxa"/>
          </w:tcPr>
          <w:p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rsidTr="007130BE">
        <w:tc>
          <w:tcPr>
            <w:tcW w:w="1255" w:type="dxa"/>
          </w:tcPr>
          <w:p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rsidTr="007130BE">
        <w:tc>
          <w:tcPr>
            <w:tcW w:w="1255" w:type="dxa"/>
          </w:tcPr>
          <w:p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rsidTr="007130BE">
        <w:tc>
          <w:tcPr>
            <w:tcW w:w="1255" w:type="dxa"/>
          </w:tcPr>
          <w:p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rsidTr="00BB23B8">
        <w:tc>
          <w:tcPr>
            <w:tcW w:w="1255" w:type="dxa"/>
          </w:tcPr>
          <w:p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Tr="00BB23B8">
        <w:tc>
          <w:tcPr>
            <w:tcW w:w="1255" w:type="dxa"/>
          </w:tcPr>
          <w:p w:rsidR="009D2AB4" w:rsidRDefault="009D2AB4"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rsidTr="00731175">
        <w:tc>
          <w:tcPr>
            <w:tcW w:w="125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rsidTr="00731175">
        <w:tc>
          <w:tcPr>
            <w:tcW w:w="125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rsidR="00521802" w:rsidRPr="00D93F07" w:rsidRDefault="00521802" w:rsidP="00521802">
            <w:pPr>
              <w:snapToGrid w:val="0"/>
              <w:spacing w:after="0"/>
              <w:rPr>
                <w:sz w:val="18"/>
                <w:szCs w:val="20"/>
              </w:rPr>
            </w:pPr>
          </w:p>
          <w:p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rsidR="00521802" w:rsidRPr="00D93F07" w:rsidRDefault="00521802" w:rsidP="00521802">
            <w:pPr>
              <w:snapToGrid w:val="0"/>
              <w:spacing w:after="0"/>
              <w:rPr>
                <w:rFonts w:eastAsia="바탕"/>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바탕"/>
                <w:sz w:val="18"/>
                <w:szCs w:val="20"/>
                <w:lang w:val="en-GB"/>
              </w:rPr>
              <w:t>:</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맑은 고딕" w:hAnsi="Times New Roman"/>
                <w:sz w:val="18"/>
                <w:szCs w:val="20"/>
              </w:rPr>
              <w:t>FFS: Detailed reporting method, e.g. via including existing L1-RSRP report, UE-initiated report etc.</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Whether or not to support CSI-RS (for e.g. mobility and/or tracking) of non-</w:t>
            </w:r>
            <w:r w:rsidRPr="00D93F07">
              <w:rPr>
                <w:rFonts w:ascii="Times New Roman" w:hAnsi="Times New Roman"/>
                <w:sz w:val="18"/>
                <w:szCs w:val="20"/>
              </w:rPr>
              <w:lastRenderedPageBreak/>
              <w:t xml:space="preserve">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rsidTr="00731175">
        <w:tc>
          <w:tcPr>
            <w:tcW w:w="1255" w:type="dxa"/>
          </w:tcPr>
          <w:p w:rsidR="00311A3E" w:rsidRDefault="00311A3E" w:rsidP="00311A3E">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05" w:type="dxa"/>
          </w:tcPr>
          <w:p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rsidTr="00731175">
        <w:tc>
          <w:tcPr>
            <w:tcW w:w="1255" w:type="dxa"/>
          </w:tcPr>
          <w:p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rsidTr="00731175">
        <w:tc>
          <w:tcPr>
            <w:tcW w:w="1255" w:type="dxa"/>
          </w:tcPr>
          <w:p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rsidTr="00731175">
        <w:tc>
          <w:tcPr>
            <w:tcW w:w="125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rsidR="008D7969" w:rsidRDefault="008D7969" w:rsidP="008D7969">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130BE" w:rsidTr="00731175">
        <w:tc>
          <w:tcPr>
            <w:tcW w:w="1255" w:type="dxa"/>
          </w:tcPr>
          <w:p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rsidTr="00731175">
        <w:tc>
          <w:tcPr>
            <w:tcW w:w="125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r w:rsidR="00BD1B7F" w:rsidRPr="007130BE" w:rsidTr="00731175">
        <w:tc>
          <w:tcPr>
            <w:tcW w:w="125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Ok to clarify it for RAN1 discussion purpose.</w:t>
            </w:r>
          </w:p>
        </w:tc>
      </w:tr>
      <w:tr w:rsidR="00435BC1" w:rsidTr="00435BC1">
        <w:tc>
          <w:tcPr>
            <w:tcW w:w="1255" w:type="dxa"/>
          </w:tcPr>
          <w:p w:rsidR="00435BC1" w:rsidRPr="002731B9" w:rsidRDefault="00435BC1" w:rsidP="00811E78">
            <w:pPr>
              <w:rPr>
                <w:rFonts w:eastAsiaTheme="minorEastAsia"/>
                <w:sz w:val="18"/>
                <w:szCs w:val="18"/>
                <w:lang w:val="en-GB" w:eastAsia="ko-KR"/>
              </w:rPr>
            </w:pPr>
            <w:r>
              <w:rPr>
                <w:rFonts w:ascii="바탕체" w:eastAsia="바탕체" w:hAnsi="바탕체" w:cs="바탕체" w:hint="eastAsia"/>
                <w:sz w:val="18"/>
                <w:szCs w:val="18"/>
                <w:lang w:val="en-GB" w:eastAsia="ko-KR"/>
              </w:rPr>
              <w:t>L</w:t>
            </w:r>
            <w:r>
              <w:rPr>
                <w:rFonts w:ascii="바탕체" w:eastAsia="바탕체" w:hAnsi="바탕체" w:cs="바탕체"/>
                <w:sz w:val="18"/>
                <w:szCs w:val="18"/>
                <w:lang w:val="en-GB" w:eastAsia="ko-KR"/>
              </w:rPr>
              <w:t>G</w:t>
            </w:r>
          </w:p>
        </w:tc>
        <w:tc>
          <w:tcPr>
            <w:tcW w:w="7805" w:type="dxa"/>
          </w:tcPr>
          <w:p w:rsidR="00435BC1" w:rsidRDefault="00435BC1" w:rsidP="00811E78">
            <w:pPr>
              <w:rPr>
                <w:rFonts w:eastAsiaTheme="minorEastAsia"/>
                <w:sz w:val="18"/>
                <w:szCs w:val="18"/>
                <w:lang w:val="en-GB" w:eastAsia="zh-CN"/>
              </w:rPr>
            </w:pPr>
            <w:r>
              <w:rPr>
                <w:rFonts w:eastAsiaTheme="minorEastAsia"/>
                <w:sz w:val="18"/>
                <w:szCs w:val="18"/>
                <w:lang w:val="en-GB" w:eastAsia="zh-CN"/>
              </w:rPr>
              <w:t>Support the proposal</w:t>
            </w:r>
          </w:p>
        </w:tc>
      </w:tr>
    </w:tbl>
    <w:p w:rsidR="00D039F7" w:rsidRPr="007130BE" w:rsidRDefault="00D039F7" w:rsidP="00D039F7">
      <w:pPr>
        <w:spacing w:after="0"/>
        <w:rPr>
          <w:rFonts w:eastAsiaTheme="minorEastAsia"/>
          <w:bCs/>
          <w:szCs w:val="20"/>
          <w:lang w:val="en-GB" w:eastAsia="zh-CN"/>
        </w:rPr>
      </w:pPr>
    </w:p>
    <w:p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rsidR="007B7513" w:rsidRPr="007130BE" w:rsidRDefault="007B7513" w:rsidP="007B7513">
      <w:pPr>
        <w:spacing w:after="0"/>
        <w:rPr>
          <w:szCs w:val="20"/>
          <w:lang w:val="en-GB"/>
        </w:rPr>
      </w:pPr>
      <w:r w:rsidRPr="007130BE">
        <w:rPr>
          <w:szCs w:val="20"/>
          <w:lang w:val="en-GB"/>
        </w:rPr>
        <w:t>Explicitly configure the non-serving cell SSB index</w:t>
      </w:r>
    </w:p>
    <w:p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lastRenderedPageBreak/>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rsidR="009A3B29" w:rsidRPr="007130BE" w:rsidRDefault="006A48CA"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rsidR="009A3B29" w:rsidRPr="007130BE" w:rsidRDefault="006A48CA"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rsidR="006F049D" w:rsidRPr="007130BE" w:rsidRDefault="006F049D" w:rsidP="00D65082">
      <w:pPr>
        <w:widowControl w:val="0"/>
        <w:snapToGrid w:val="0"/>
        <w:spacing w:beforeLines="50" w:before="18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rsidR="006F049D" w:rsidRPr="007130BE" w:rsidRDefault="006F049D" w:rsidP="00D65082">
      <w:pPr>
        <w:widowControl w:val="0"/>
        <w:snapToGrid w:val="0"/>
        <w:spacing w:beforeLines="50" w:before="18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rsidR="006F049D" w:rsidRPr="007130BE" w:rsidRDefault="006F049D" w:rsidP="006F049D">
      <w:pPr>
        <w:rPr>
          <w:bCs/>
          <w:iCs/>
          <w:szCs w:val="20"/>
          <w:lang w:val="en-GB" w:eastAsia="zh-CN"/>
        </w:rPr>
      </w:pPr>
      <w:r w:rsidRPr="007130BE">
        <w:rPr>
          <w:bCs/>
          <w:iCs/>
          <w:szCs w:val="20"/>
          <w:lang w:val="en-GB" w:eastAsia="zh-CN"/>
        </w:rPr>
        <w:lastRenderedPageBreak/>
        <w:t>SSB index from a non-serving cell can be directly configured in QCL-info and SSB-InfoNcell-r16/SSB-Configuration-r16 are used to provide the non-serving cell’s information for the UE to obtain the correct SSB information.</w:t>
      </w:r>
    </w:p>
    <w:p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rsidR="006F049D" w:rsidRPr="007130BE" w:rsidRDefault="006F049D" w:rsidP="006F049D">
      <w:pPr>
        <w:rPr>
          <w:bCs/>
          <w:iCs/>
          <w:szCs w:val="20"/>
          <w:lang w:val="en-GB" w:eastAsia="zh-CN"/>
        </w:rPr>
      </w:pPr>
      <w:r w:rsidRPr="007130BE">
        <w:rPr>
          <w:bCs/>
          <w:iCs/>
          <w:szCs w:val="20"/>
          <w:lang w:val="en-GB" w:eastAsia="zh-CN"/>
        </w:rPr>
        <w:t>Option 3 should be supported.</w:t>
      </w:r>
    </w:p>
    <w:p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rsidR="007B7513" w:rsidRPr="007130BE" w:rsidRDefault="007B7513" w:rsidP="00D65082">
      <w:pPr>
        <w:snapToGrid w:val="0"/>
        <w:spacing w:beforeLines="50" w:before="180"/>
        <w:rPr>
          <w:iCs/>
          <w:szCs w:val="20"/>
          <w:lang w:val="en-GB"/>
        </w:rPr>
      </w:pPr>
      <w:r w:rsidRPr="007130BE">
        <w:rPr>
          <w:iCs/>
          <w:szCs w:val="20"/>
          <w:lang w:val="en-GB"/>
        </w:rPr>
        <w:t xml:space="preserve">Support to introduce a new RRC IE linking with some TCI states. </w:t>
      </w:r>
    </w:p>
    <w:p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rsidR="007B7513" w:rsidRPr="007130BE" w:rsidRDefault="007B7513" w:rsidP="00D65082">
      <w:pPr>
        <w:snapToGrid w:val="0"/>
        <w:spacing w:beforeLines="50" w:before="18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rsidR="007B7513" w:rsidRPr="007130BE" w:rsidRDefault="007B7513" w:rsidP="00D65082">
      <w:pPr>
        <w:pStyle w:val="af"/>
        <w:widowControl/>
        <w:numPr>
          <w:ilvl w:val="0"/>
          <w:numId w:val="14"/>
        </w:numPr>
        <w:snapToGrid w:val="0"/>
        <w:spacing w:afterLines="50" w:after="18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lastRenderedPageBreak/>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rsidR="004D1ADA" w:rsidRPr="007130BE" w:rsidRDefault="004D1ADA" w:rsidP="00AC250D">
      <w:pPr>
        <w:spacing w:after="0"/>
        <w:rPr>
          <w:rFonts w:eastAsiaTheme="minorEastAsia"/>
          <w:b/>
          <w:bCs/>
          <w:iCs/>
          <w:szCs w:val="20"/>
          <w:lang w:val="en-GB" w:eastAsia="zh-CN"/>
        </w:rPr>
      </w:pPr>
    </w:p>
    <w:p w:rsidR="00944504" w:rsidRPr="007130BE" w:rsidRDefault="00944504" w:rsidP="00AC250D">
      <w:pPr>
        <w:spacing w:after="0"/>
        <w:rPr>
          <w:rFonts w:eastAsiaTheme="minorEastAsia"/>
          <w:b/>
          <w:bCs/>
          <w:iCs/>
          <w:lang w:val="en-GB" w:eastAsia="zh-CN"/>
        </w:rPr>
      </w:pPr>
    </w:p>
    <w:p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rsidR="006B64AD" w:rsidRPr="007130BE" w:rsidRDefault="006B64AD" w:rsidP="00AC250D">
      <w:pPr>
        <w:spacing w:after="0"/>
        <w:rPr>
          <w:rFonts w:eastAsiaTheme="minorEastAsia"/>
          <w:b/>
          <w:bCs/>
          <w:iCs/>
          <w:lang w:val="en-GB" w:eastAsia="zh-CN"/>
        </w:rPr>
      </w:pPr>
    </w:p>
    <w:p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rsidTr="00180989">
        <w:tc>
          <w:tcPr>
            <w:tcW w:w="1345" w:type="dxa"/>
            <w:shd w:val="clear" w:color="auto" w:fill="5B9BD5" w:themeFill="accent1"/>
          </w:tcPr>
          <w:p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rsidTr="00180989">
        <w:tc>
          <w:tcPr>
            <w:tcW w:w="1345" w:type="dxa"/>
          </w:tcPr>
          <w:p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rsidTr="00180989">
        <w:tc>
          <w:tcPr>
            <w:tcW w:w="1345" w:type="dxa"/>
          </w:tcPr>
          <w:p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rsidTr="00180989">
        <w:tc>
          <w:tcPr>
            <w:tcW w:w="1345" w:type="dxa"/>
          </w:tcPr>
          <w:p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w:t>
            </w:r>
            <w:r w:rsidR="003C32F6">
              <w:rPr>
                <w:rFonts w:eastAsiaTheme="minorEastAsia"/>
                <w:sz w:val="18"/>
                <w:szCs w:val="18"/>
                <w:lang w:val="en-GB" w:eastAsia="zh-CN"/>
              </w:rPr>
              <w:lastRenderedPageBreak/>
              <w:t xml:space="preserve">restriction. </w:t>
            </w:r>
          </w:p>
        </w:tc>
      </w:tr>
      <w:tr w:rsidR="000926C5" w:rsidRPr="007130BE" w:rsidTr="00180989">
        <w:tc>
          <w:tcPr>
            <w:tcW w:w="1345" w:type="dxa"/>
          </w:tcPr>
          <w:p w:rsidR="000926C5" w:rsidRDefault="000926C5" w:rsidP="006F1CC8">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715" w:type="dxa"/>
          </w:tcPr>
          <w:p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rsidTr="00475125">
        <w:tc>
          <w:tcPr>
            <w:tcW w:w="1345" w:type="dxa"/>
          </w:tcPr>
          <w:p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rsidTr="00475125">
        <w:tc>
          <w:tcPr>
            <w:tcW w:w="1345" w:type="dxa"/>
          </w:tcPr>
          <w:p w:rsidR="00072C6C" w:rsidRDefault="00072C6C"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rsidR="00072C6C" w:rsidRPr="00304A5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rsidTr="00311A3E">
        <w:tc>
          <w:tcPr>
            <w:tcW w:w="134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w:t>
            </w:r>
            <w:proofErr w:type="gramStart"/>
            <w:r>
              <w:rPr>
                <w:rFonts w:eastAsiaTheme="minorEastAsia"/>
                <w:sz w:val="18"/>
                <w:szCs w:val="18"/>
                <w:lang w:val="en-GB" w:eastAsia="zh-CN"/>
              </w:rPr>
              <w:t>,2</w:t>
            </w:r>
            <w:proofErr w:type="gramEnd"/>
            <w:r>
              <w:rPr>
                <w:rFonts w:eastAsiaTheme="minorEastAsia"/>
                <w:sz w:val="18"/>
                <w:szCs w:val="18"/>
                <w:lang w:val="en-GB" w:eastAsia="zh-CN"/>
              </w:rPr>
              <w:t xml:space="preserve"> and 5 are very different from Options 3 and 4, and so they have different impact on RAN2 design.</w:t>
            </w:r>
          </w:p>
        </w:tc>
      </w:tr>
      <w:tr w:rsidR="00521802" w:rsidRPr="007130BE" w:rsidTr="00311A3E">
        <w:tc>
          <w:tcPr>
            <w:tcW w:w="134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rsidTr="00311A3E">
        <w:tc>
          <w:tcPr>
            <w:tcW w:w="1345" w:type="dxa"/>
          </w:tcPr>
          <w:p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r w:rsidR="005432BD" w:rsidRPr="007130BE" w:rsidTr="00311A3E">
        <w:tc>
          <w:tcPr>
            <w:tcW w:w="1345" w:type="dxa"/>
          </w:tcPr>
          <w:p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rsidTr="00311A3E">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rsidR="008D7969" w:rsidRDefault="008D7969" w:rsidP="008D7969">
            <w:pPr>
              <w:rPr>
                <w:rFonts w:eastAsiaTheme="minor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tc>
      </w:tr>
      <w:tr w:rsidR="004D2C91" w:rsidRPr="007130BE" w:rsidTr="00311A3E">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tc>
      </w:tr>
      <w:tr w:rsidR="00BD1B7F" w:rsidRPr="007130BE" w:rsidTr="00311A3E">
        <w:tc>
          <w:tcPr>
            <w:tcW w:w="1345" w:type="dxa"/>
          </w:tcPr>
          <w:p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rsidR="00BD1B7F" w:rsidRPr="00285975" w:rsidRDefault="00285975" w:rsidP="002571D1">
            <w:pPr>
              <w:rPr>
                <w:rFonts w:eastAsiaTheme="minorEastAsia"/>
                <w:bCs/>
                <w:sz w:val="18"/>
                <w:szCs w:val="18"/>
                <w:lang w:val="en-GB" w:eastAsia="zh-CN"/>
              </w:rPr>
            </w:pPr>
            <w:r>
              <w:rPr>
                <w:rFonts w:eastAsiaTheme="minorEastAsia"/>
                <w:bCs/>
                <w:sz w:val="18"/>
                <w:szCs w:val="18"/>
                <w:lang w:val="en-GB" w:eastAsia="zh-CN"/>
              </w:rPr>
              <w:t xml:space="preserve">We </w:t>
            </w:r>
            <w:r>
              <w:rPr>
                <w:rFonts w:eastAsiaTheme="minorEastAsia" w:hint="eastAsia"/>
                <w:bCs/>
                <w:sz w:val="18"/>
                <w:szCs w:val="18"/>
                <w:lang w:val="en-GB" w:eastAsia="zh-CN"/>
              </w:rPr>
              <w:t>agree</w:t>
            </w:r>
            <w:r>
              <w:rPr>
                <w:rFonts w:eastAsiaTheme="minorEastAsia"/>
                <w:bCs/>
                <w:sz w:val="18"/>
                <w:szCs w:val="18"/>
                <w:lang w:val="en-GB" w:eastAsia="zh-CN"/>
              </w:rPr>
              <w:t xml:space="preserve"> with QC, OPPO, ZTE</w:t>
            </w:r>
            <w:r>
              <w:rPr>
                <w:rFonts w:eastAsiaTheme="minorEastAsia" w:hint="eastAsia"/>
                <w:bCs/>
                <w:sz w:val="18"/>
                <w:szCs w:val="18"/>
                <w:lang w:val="en-GB" w:eastAsia="zh-CN"/>
              </w:rPr>
              <w:t>, and Samsung.</w:t>
            </w:r>
            <w:r w:rsidR="00EF4A0A">
              <w:rPr>
                <w:rFonts w:eastAsiaTheme="minorEastAsia" w:hint="eastAsia"/>
                <w:bCs/>
                <w:sz w:val="18"/>
                <w:szCs w:val="18"/>
                <w:lang w:val="en-GB" w:eastAsia="zh-CN"/>
              </w:rPr>
              <w:t xml:space="preserve"> Discussion on the number of non-serving cells is necessary.</w:t>
            </w:r>
          </w:p>
        </w:tc>
      </w:tr>
    </w:tbl>
    <w:p w:rsidR="00731175" w:rsidRPr="007130BE" w:rsidRDefault="00731175" w:rsidP="00731175">
      <w:pPr>
        <w:rPr>
          <w:rFonts w:eastAsiaTheme="minorEastAsia"/>
          <w:sz w:val="18"/>
          <w:szCs w:val="18"/>
          <w:lang w:val="en-GB" w:eastAsia="zh-CN"/>
        </w:rPr>
      </w:pPr>
    </w:p>
    <w:p w:rsidR="00AC250D" w:rsidRPr="007130BE" w:rsidRDefault="00AC250D" w:rsidP="00AC250D">
      <w:pPr>
        <w:rPr>
          <w:rFonts w:eastAsiaTheme="minorEastAsia"/>
          <w:sz w:val="18"/>
          <w:szCs w:val="18"/>
          <w:lang w:val="en-GB" w:eastAsia="zh-CN"/>
        </w:rPr>
      </w:pPr>
    </w:p>
    <w:p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rsidTr="003E27F9">
        <w:tc>
          <w:tcPr>
            <w:tcW w:w="1345" w:type="dxa"/>
            <w:shd w:val="clear" w:color="auto" w:fill="5B9BD5" w:themeFill="accent1"/>
          </w:tcPr>
          <w:p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rsidTr="003E27F9">
        <w:tc>
          <w:tcPr>
            <w:tcW w:w="1345" w:type="dxa"/>
          </w:tcPr>
          <w:p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rsidTr="003E27F9">
        <w:tc>
          <w:tcPr>
            <w:tcW w:w="1345" w:type="dxa"/>
          </w:tcPr>
          <w:p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rsidTr="003E27F9">
        <w:tc>
          <w:tcPr>
            <w:tcW w:w="1345" w:type="dxa"/>
          </w:tcPr>
          <w:p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rsidTr="003E27F9">
        <w:tc>
          <w:tcPr>
            <w:tcW w:w="1345" w:type="dxa"/>
          </w:tcPr>
          <w:p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rsidTr="000B4021">
        <w:tc>
          <w:tcPr>
            <w:tcW w:w="1345" w:type="dxa"/>
          </w:tcPr>
          <w:p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rsidTr="000B4021">
        <w:tc>
          <w:tcPr>
            <w:tcW w:w="1345" w:type="dxa"/>
          </w:tcPr>
          <w:p w:rsidR="00E92DF5" w:rsidRDefault="00E92DF5"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rsidTr="00731175">
        <w:tc>
          <w:tcPr>
            <w:tcW w:w="134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rsidTr="00731175">
        <w:tc>
          <w:tcPr>
            <w:tcW w:w="1345" w:type="dxa"/>
          </w:tcPr>
          <w:p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rsidTr="00731175">
        <w:tc>
          <w:tcPr>
            <w:tcW w:w="1345" w:type="dxa"/>
          </w:tcPr>
          <w:p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rsidTr="00731175">
        <w:tc>
          <w:tcPr>
            <w:tcW w:w="1345" w:type="dxa"/>
          </w:tcPr>
          <w:p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rsidTr="00731175">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rsidR="004D2C91" w:rsidRPr="007130BE"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and non-serving cell information.</w:t>
            </w:r>
          </w:p>
          <w:p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configured similar to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 xml:space="preserve">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=0 and non-serving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 1 in order to follow Rel-16 defined M-TRP operation. </w:t>
            </w:r>
          </w:p>
          <w:p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rsidR="004D2C91" w:rsidRPr="00C175D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rsidR="004D2C91" w:rsidRPr="007130BE"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rsidR="004D2C91" w:rsidRDefault="004D2C91" w:rsidP="004D2C91">
            <w:pPr>
              <w:rPr>
                <w:rFonts w:eastAsiaTheme="minorEastAsia"/>
                <w:bCs/>
                <w:sz w:val="18"/>
                <w:szCs w:val="18"/>
                <w:lang w:val="en-GB" w:eastAsia="zh-CN"/>
              </w:rPr>
            </w:pPr>
          </w:p>
        </w:tc>
      </w:tr>
      <w:tr w:rsidR="006D6C83" w:rsidRPr="007130BE" w:rsidTr="00731175">
        <w:tc>
          <w:tcPr>
            <w:tcW w:w="1345" w:type="dxa"/>
          </w:tcPr>
          <w:p w:rsidR="006D6C83" w:rsidRDefault="006D6C83" w:rsidP="004D2C91">
            <w:pPr>
              <w:rPr>
                <w:rFonts w:eastAsiaTheme="minorEastAsia"/>
                <w:sz w:val="18"/>
                <w:szCs w:val="18"/>
                <w:lang w:val="en-GB" w:eastAsia="zh-CN"/>
              </w:rPr>
            </w:pPr>
            <w:r>
              <w:rPr>
                <w:rFonts w:eastAsiaTheme="minorEastAsia" w:hint="eastAsia"/>
                <w:sz w:val="18"/>
                <w:szCs w:val="18"/>
                <w:lang w:val="en-GB" w:eastAsia="zh-CN"/>
              </w:rPr>
              <w:lastRenderedPageBreak/>
              <w:t>CMCC</w:t>
            </w:r>
          </w:p>
        </w:tc>
        <w:tc>
          <w:tcPr>
            <w:tcW w:w="7715" w:type="dxa"/>
          </w:tcPr>
          <w:p w:rsidR="006D6C83" w:rsidRPr="007130BE" w:rsidRDefault="006D6C83" w:rsidP="00131AD4">
            <w:pPr>
              <w:rPr>
                <w:rFonts w:eastAsiaTheme="minorEastAsia"/>
                <w:sz w:val="18"/>
                <w:szCs w:val="18"/>
                <w:lang w:val="en-GB" w:eastAsia="zh-CN"/>
              </w:rPr>
            </w:pPr>
            <w:r>
              <w:rPr>
                <w:rFonts w:eastAsiaTheme="minorEastAsia" w:hint="eastAsia"/>
                <w:sz w:val="18"/>
                <w:szCs w:val="18"/>
                <w:lang w:val="en-GB" w:eastAsia="zh-CN"/>
              </w:rPr>
              <w:t>We agree with Nokia</w:t>
            </w:r>
            <w:r>
              <w:rPr>
                <w:rFonts w:eastAsiaTheme="minorEastAsia"/>
                <w:sz w:val="18"/>
                <w:szCs w:val="18"/>
                <w:lang w:val="en-GB" w:eastAsia="zh-CN"/>
              </w:rPr>
              <w:t>’</w:t>
            </w:r>
            <w:r>
              <w:rPr>
                <w:rFonts w:eastAsiaTheme="minorEastAsia" w:hint="eastAsia"/>
                <w:sz w:val="18"/>
                <w:szCs w:val="18"/>
                <w:lang w:val="en-GB" w:eastAsia="zh-CN"/>
              </w:rPr>
              <w:t xml:space="preserve">s </w:t>
            </w:r>
            <w:r>
              <w:rPr>
                <w:rFonts w:eastAsiaTheme="minorEastAsia"/>
                <w:sz w:val="18"/>
                <w:szCs w:val="18"/>
                <w:lang w:val="en-GB" w:eastAsia="zh-CN"/>
              </w:rPr>
              <w:t>clarification</w:t>
            </w:r>
            <w:r>
              <w:rPr>
                <w:rFonts w:eastAsiaTheme="minorEastAsia" w:hint="eastAsia"/>
                <w:sz w:val="18"/>
                <w:szCs w:val="18"/>
                <w:lang w:val="en-GB" w:eastAsia="zh-CN"/>
              </w:rPr>
              <w:t>.</w:t>
            </w:r>
          </w:p>
        </w:tc>
      </w:tr>
      <w:tr w:rsidR="00435BC1" w:rsidTr="00435BC1">
        <w:tc>
          <w:tcPr>
            <w:tcW w:w="1345" w:type="dxa"/>
          </w:tcPr>
          <w:p w:rsidR="00435BC1" w:rsidRDefault="00435BC1" w:rsidP="00811E78">
            <w:pPr>
              <w:rPr>
                <w:rFonts w:eastAsiaTheme="minorEastAsia"/>
                <w:sz w:val="18"/>
                <w:szCs w:val="18"/>
                <w:lang w:val="en-GB" w:eastAsia="zh-CN"/>
              </w:rPr>
            </w:pPr>
            <w:r>
              <w:rPr>
                <w:rFonts w:eastAsiaTheme="minorEastAsia"/>
                <w:sz w:val="18"/>
                <w:szCs w:val="18"/>
                <w:lang w:val="en-GB" w:eastAsia="zh-CN"/>
              </w:rPr>
              <w:t>LG</w:t>
            </w:r>
          </w:p>
        </w:tc>
        <w:tc>
          <w:tcPr>
            <w:tcW w:w="7715" w:type="dxa"/>
          </w:tcPr>
          <w:p w:rsidR="00435BC1" w:rsidRDefault="00435BC1" w:rsidP="00811E78">
            <w:pPr>
              <w:rPr>
                <w:rFonts w:eastAsiaTheme="minorEastAsia"/>
                <w:sz w:val="18"/>
                <w:szCs w:val="18"/>
                <w:lang w:val="en-GB" w:eastAsia="zh-CN"/>
              </w:rPr>
            </w:pPr>
            <w:r>
              <w:rPr>
                <w:rFonts w:eastAsiaTheme="minorEastAsia" w:hint="eastAsia"/>
                <w:sz w:val="18"/>
                <w:szCs w:val="18"/>
                <w:lang w:val="en-GB" w:eastAsia="zh-CN"/>
              </w:rPr>
              <w:t xml:space="preserve">Support </w:t>
            </w:r>
          </w:p>
        </w:tc>
      </w:tr>
    </w:tbl>
    <w:p w:rsidR="00767DE5" w:rsidRPr="007130BE" w:rsidRDefault="00767DE5" w:rsidP="006F5FDF">
      <w:pPr>
        <w:rPr>
          <w:lang w:val="en-GB"/>
        </w:rPr>
      </w:pPr>
    </w:p>
    <w:p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rsidR="00F23DD4" w:rsidRPr="007130BE" w:rsidRDefault="00F23DD4" w:rsidP="006C382B">
      <w:pPr>
        <w:spacing w:line="360" w:lineRule="auto"/>
        <w:rPr>
          <w:rFonts w:eastAsiaTheme="minorEastAsia"/>
          <w:sz w:val="24"/>
          <w:lang w:val="en-GB" w:eastAsia="zh-CN"/>
        </w:rPr>
      </w:pPr>
    </w:p>
    <w:p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rsidR="00287976" w:rsidRPr="007130BE" w:rsidRDefault="00287976" w:rsidP="00287976">
      <w:pPr>
        <w:spacing w:after="0"/>
        <w:rPr>
          <w:rFonts w:eastAsiaTheme="minorEastAsia"/>
          <w:bCs/>
          <w:szCs w:val="20"/>
          <w:lang w:val="en-GB" w:eastAsia="zh-CN"/>
        </w:rPr>
      </w:pPr>
    </w:p>
    <w:p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rsidR="00287976" w:rsidRPr="007130BE" w:rsidRDefault="00287976" w:rsidP="00287976">
      <w:pPr>
        <w:spacing w:after="0"/>
        <w:rPr>
          <w:rFonts w:eastAsiaTheme="minorEastAsia"/>
          <w:b/>
          <w:bCs/>
          <w:sz w:val="18"/>
          <w:szCs w:val="18"/>
          <w:lang w:val="en-GB" w:eastAsia="zh-CN"/>
        </w:rPr>
      </w:pPr>
    </w:p>
    <w:p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rsidTr="003E27F9">
        <w:tc>
          <w:tcPr>
            <w:tcW w:w="1255" w:type="dxa"/>
            <w:shd w:val="clear" w:color="auto" w:fill="5B9BD5" w:themeFill="accent1"/>
          </w:tcPr>
          <w:p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rsidTr="003E27F9">
        <w:tc>
          <w:tcPr>
            <w:tcW w:w="1255" w:type="dxa"/>
          </w:tcPr>
          <w:p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rsidR="00287976" w:rsidRDefault="003E27F9" w:rsidP="00FF68F4">
            <w:pPr>
              <w:rPr>
                <w:rFonts w:eastAsiaTheme="minorEastAsia"/>
                <w:sz w:val="18"/>
                <w:szCs w:val="18"/>
                <w:lang w:val="en-GB" w:eastAsia="zh-CN"/>
              </w:rPr>
            </w:pPr>
            <w:r>
              <w:rPr>
                <w:rFonts w:eastAsiaTheme="minorEastAsia"/>
                <w:sz w:val="18"/>
                <w:szCs w:val="18"/>
                <w:lang w:val="en-GB" w:eastAsia="zh-CN"/>
              </w:rPr>
              <w:t xml:space="preserve">Support the proposal. We think both </w:t>
            </w:r>
            <w:proofErr w:type="spellStart"/>
            <w:r>
              <w:rPr>
                <w:rFonts w:eastAsiaTheme="minorEastAsia"/>
                <w:sz w:val="18"/>
                <w:szCs w:val="18"/>
                <w:lang w:val="en-GB" w:eastAsia="zh-CN"/>
              </w:rPr>
              <w:t>configs</w:t>
            </w:r>
            <w:proofErr w:type="spellEnd"/>
            <w:r>
              <w:rPr>
                <w:rFonts w:eastAsiaTheme="minorEastAsia"/>
                <w:sz w:val="18"/>
                <w:szCs w:val="18"/>
                <w:lang w:val="en-GB" w:eastAsia="zh-CN"/>
              </w:rPr>
              <w:t xml:space="preserve"> are needed for the purpose of referring to a SSB index as well as for rate matching.</w:t>
            </w:r>
          </w:p>
          <w:p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rsidTr="003E27F9">
        <w:tc>
          <w:tcPr>
            <w:tcW w:w="1255" w:type="dxa"/>
          </w:tcPr>
          <w:p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lastRenderedPageBreak/>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rsidTr="003E27F9">
        <w:tc>
          <w:tcPr>
            <w:tcW w:w="1255" w:type="dxa"/>
          </w:tcPr>
          <w:p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rsidTr="002454CA">
        <w:tc>
          <w:tcPr>
            <w:tcW w:w="1255" w:type="dxa"/>
          </w:tcPr>
          <w:p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rsidTr="002454CA">
        <w:tc>
          <w:tcPr>
            <w:tcW w:w="1255" w:type="dxa"/>
          </w:tcPr>
          <w:p w:rsidR="00D73477" w:rsidRDefault="00D7347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rsidTr="00731175">
        <w:tc>
          <w:tcPr>
            <w:tcW w:w="125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rsidTr="00731175">
        <w:tc>
          <w:tcPr>
            <w:tcW w:w="125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rsidTr="00731175">
        <w:tc>
          <w:tcPr>
            <w:tcW w:w="125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rsidTr="00731175">
        <w:tc>
          <w:tcPr>
            <w:tcW w:w="1255" w:type="dxa"/>
          </w:tcPr>
          <w:p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rsidTr="00731175">
        <w:tc>
          <w:tcPr>
            <w:tcW w:w="1255" w:type="dxa"/>
          </w:tcPr>
          <w:p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rsidTr="00731175">
        <w:tc>
          <w:tcPr>
            <w:tcW w:w="125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rsidTr="00731175">
        <w:tc>
          <w:tcPr>
            <w:tcW w:w="125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rsidTr="00731175">
        <w:tc>
          <w:tcPr>
            <w:tcW w:w="125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05" w:type="dxa"/>
          </w:tcPr>
          <w:p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6D6C83" w:rsidRPr="007130BE" w:rsidTr="00731175">
        <w:tc>
          <w:tcPr>
            <w:tcW w:w="1255" w:type="dxa"/>
          </w:tcPr>
          <w:p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rsidR="006D6C83" w:rsidRDefault="006D6C83" w:rsidP="00131AD4">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435BC1" w:rsidTr="00435BC1">
        <w:tc>
          <w:tcPr>
            <w:tcW w:w="1255" w:type="dxa"/>
          </w:tcPr>
          <w:p w:rsidR="00435BC1" w:rsidRDefault="00435BC1" w:rsidP="00811E78">
            <w:pPr>
              <w:rPr>
                <w:rFonts w:eastAsiaTheme="minorEastAsia"/>
                <w:sz w:val="18"/>
                <w:szCs w:val="18"/>
                <w:lang w:val="en-GB" w:eastAsia="zh-CN"/>
              </w:rPr>
            </w:pPr>
            <w:r>
              <w:rPr>
                <w:rFonts w:eastAsiaTheme="minorEastAsia"/>
                <w:sz w:val="18"/>
                <w:szCs w:val="18"/>
                <w:lang w:val="en-GB" w:eastAsia="zh-CN"/>
              </w:rPr>
              <w:t>LG</w:t>
            </w:r>
          </w:p>
        </w:tc>
        <w:tc>
          <w:tcPr>
            <w:tcW w:w="7805" w:type="dxa"/>
          </w:tcPr>
          <w:p w:rsidR="00435BC1" w:rsidRDefault="00435BC1" w:rsidP="00811E78">
            <w:pPr>
              <w:rPr>
                <w:rFonts w:eastAsiaTheme="minorEastAsia"/>
                <w:sz w:val="18"/>
                <w:szCs w:val="18"/>
                <w:lang w:eastAsia="zh-CN"/>
              </w:rPr>
            </w:pPr>
            <w:r>
              <w:rPr>
                <w:rFonts w:eastAsiaTheme="minorEastAsia"/>
                <w:sz w:val="18"/>
                <w:szCs w:val="18"/>
                <w:lang w:val="en-GB" w:eastAsia="zh-CN"/>
              </w:rPr>
              <w:t>Same view with Huawei.</w:t>
            </w:r>
          </w:p>
        </w:tc>
      </w:tr>
    </w:tbl>
    <w:p w:rsidR="00287976" w:rsidRPr="002454CA" w:rsidRDefault="00287976" w:rsidP="00287976">
      <w:pPr>
        <w:spacing w:after="200" w:line="276" w:lineRule="auto"/>
        <w:contextualSpacing/>
        <w:rPr>
          <w:rStyle w:val="normaltextrun"/>
          <w:rFonts w:eastAsiaTheme="minorEastAsia"/>
          <w:bCs/>
          <w:lang w:val="en-GB" w:eastAsia="zh-CN"/>
        </w:rPr>
      </w:pPr>
    </w:p>
    <w:p w:rsidR="00287976" w:rsidRPr="007130BE" w:rsidRDefault="00287976" w:rsidP="006C382B">
      <w:pPr>
        <w:spacing w:line="360" w:lineRule="auto"/>
        <w:rPr>
          <w:rFonts w:eastAsiaTheme="minorEastAsia"/>
          <w:sz w:val="24"/>
          <w:lang w:val="en-GB" w:eastAsia="zh-CN"/>
        </w:rPr>
      </w:pPr>
    </w:p>
    <w:p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rsidR="002A46BF" w:rsidRPr="007130BE" w:rsidRDefault="00CE5D4F" w:rsidP="000905F4">
      <w:pPr>
        <w:spacing w:line="360" w:lineRule="auto"/>
        <w:rPr>
          <w:rStyle w:val="normaltextrun"/>
          <w:rFonts w:eastAsiaTheme="minorEastAsia"/>
          <w:b/>
          <w:lang w:val="en-GB" w:eastAsia="zh-CN"/>
        </w:rPr>
      </w:pPr>
      <w:proofErr w:type="gramStart"/>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roofErr w:type="gramEnd"/>
    </w:p>
    <w:p w:rsidR="00143F67" w:rsidRPr="007130BE" w:rsidRDefault="00143F67" w:rsidP="00D65082">
      <w:pPr>
        <w:pStyle w:val="a0"/>
        <w:numPr>
          <w:ilvl w:val="1"/>
          <w:numId w:val="29"/>
        </w:numPr>
        <w:snapToGrid w:val="0"/>
        <w:spacing w:beforeLines="50" w:before="180"/>
        <w:rPr>
          <w:rFonts w:eastAsia="SimSun"/>
          <w:bCs/>
          <w:lang w:val="en-GB" w:eastAsia="zh-CN"/>
        </w:rPr>
      </w:pPr>
      <w:r w:rsidRPr="007130BE">
        <w:rPr>
          <w:rFonts w:eastAsia="SimSun"/>
          <w:bCs/>
          <w:lang w:val="en-GB" w:eastAsia="zh-CN"/>
        </w:rPr>
        <w:t xml:space="preserve">CSI-RS for mobility should be supported as the QCL source for channels/RS. </w:t>
      </w:r>
    </w:p>
    <w:p w:rsidR="00143F67" w:rsidRPr="007130BE" w:rsidRDefault="00143F67" w:rsidP="00D65082">
      <w:pPr>
        <w:pStyle w:val="a0"/>
        <w:numPr>
          <w:ilvl w:val="1"/>
          <w:numId w:val="29"/>
        </w:numPr>
        <w:snapToGrid w:val="0"/>
        <w:spacing w:beforeLines="50" w:before="18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lastRenderedPageBreak/>
        <w:t>Supported to use non-serving cell CSI-RS for mobility as the QCL source for MTRP inter-cell transmission.</w:t>
      </w:r>
    </w:p>
    <w:p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rsidR="004A4C67" w:rsidRPr="007130BE" w:rsidRDefault="004A4C67" w:rsidP="000905F4">
      <w:pPr>
        <w:spacing w:line="360" w:lineRule="auto"/>
        <w:rPr>
          <w:lang w:val="en-GB"/>
        </w:rPr>
      </w:pPr>
      <w:r w:rsidRPr="007130BE">
        <w:rPr>
          <w:lang w:val="en-GB"/>
        </w:rPr>
        <w:t>Consider mobility CSI-RS for QCL type C/D source of TRS/CSI-RS as well.</w:t>
      </w:r>
    </w:p>
    <w:p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rsidR="00CE5D4F" w:rsidRPr="007130BE" w:rsidRDefault="00CE5D4F" w:rsidP="00CE5D4F">
      <w:pPr>
        <w:rPr>
          <w:lang w:val="en-GB" w:eastAsia="zh-CN"/>
        </w:rPr>
      </w:pPr>
      <w:r w:rsidRPr="007130BE">
        <w:rPr>
          <w:lang w:val="en-GB" w:eastAsia="zh-CN"/>
        </w:rPr>
        <w:t>Not support CSI-RS from non-serving cell as non-serving cell RS.</w:t>
      </w:r>
    </w:p>
    <w:p w:rsidR="00CE5D4F" w:rsidRPr="007130BE" w:rsidRDefault="00CE5D4F" w:rsidP="000905F4">
      <w:pPr>
        <w:spacing w:line="360" w:lineRule="auto"/>
        <w:rPr>
          <w:rStyle w:val="normaltextrun"/>
          <w:rFonts w:eastAsiaTheme="minorEastAsia"/>
          <w:b/>
          <w:lang w:val="en-GB" w:eastAsia="zh-CN"/>
        </w:rPr>
      </w:pPr>
    </w:p>
    <w:p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rsidTr="003E27F9">
        <w:tc>
          <w:tcPr>
            <w:tcW w:w="1165" w:type="dxa"/>
            <w:shd w:val="clear" w:color="auto" w:fill="5B9BD5" w:themeFill="accent1"/>
          </w:tcPr>
          <w:p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rsidTr="003E27F9">
        <w:tc>
          <w:tcPr>
            <w:tcW w:w="1165" w:type="dxa"/>
          </w:tcPr>
          <w:p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rsidTr="003E27F9">
        <w:tc>
          <w:tcPr>
            <w:tcW w:w="1165" w:type="dxa"/>
          </w:tcPr>
          <w:p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 xml:space="preserve">measurement signal transmitted from </w:t>
            </w:r>
            <w:proofErr w:type="spellStart"/>
            <w:r w:rsidR="001355D9" w:rsidRPr="00BE6281">
              <w:rPr>
                <w:rFonts w:eastAsiaTheme="minorEastAsia"/>
                <w:sz w:val="18"/>
                <w:szCs w:val="18"/>
                <w:lang w:val="en-GB" w:eastAsia="zh-CN"/>
              </w:rPr>
              <w:t>gNB</w:t>
            </w:r>
            <w:proofErr w:type="spellEnd"/>
            <w:r w:rsidR="001355D9">
              <w:rPr>
                <w:rFonts w:eastAsiaTheme="minorEastAsia"/>
                <w:sz w:val="18"/>
                <w:szCs w:val="18"/>
                <w:lang w:val="en-GB" w:eastAsia="zh-CN"/>
              </w:rPr>
              <w:t>;</w:t>
            </w:r>
          </w:p>
          <w:p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rsidTr="003E27F9">
        <w:tc>
          <w:tcPr>
            <w:tcW w:w="1165" w:type="dxa"/>
          </w:tcPr>
          <w:p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rsidTr="003E27F9">
        <w:tc>
          <w:tcPr>
            <w:tcW w:w="116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rsidTr="00E81721">
        <w:tc>
          <w:tcPr>
            <w:tcW w:w="1165" w:type="dxa"/>
          </w:tcPr>
          <w:p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rsidTr="00E81721">
        <w:tc>
          <w:tcPr>
            <w:tcW w:w="1165" w:type="dxa"/>
          </w:tcPr>
          <w:p w:rsidR="00886DA7" w:rsidRDefault="00886DA7" w:rsidP="00311A3E">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895" w:type="dxa"/>
          </w:tcPr>
          <w:p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rsidTr="00731175">
        <w:tc>
          <w:tcPr>
            <w:tcW w:w="116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rsidTr="00731175">
        <w:tc>
          <w:tcPr>
            <w:tcW w:w="116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rsidTr="00731175">
        <w:tc>
          <w:tcPr>
            <w:tcW w:w="1165" w:type="dxa"/>
          </w:tcPr>
          <w:p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rsidTr="00731175">
        <w:tc>
          <w:tcPr>
            <w:tcW w:w="1165" w:type="dxa"/>
          </w:tcPr>
          <w:p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rsidTr="00731175">
        <w:tc>
          <w:tcPr>
            <w:tcW w:w="1165" w:type="dxa"/>
          </w:tcPr>
          <w:p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rsidTr="00731175">
        <w:tc>
          <w:tcPr>
            <w:tcW w:w="116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rsidTr="00731175">
        <w:tc>
          <w:tcPr>
            <w:tcW w:w="116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rsidTr="00731175">
        <w:tc>
          <w:tcPr>
            <w:tcW w:w="116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95" w:type="dxa"/>
          </w:tcPr>
          <w:p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435BC1" w:rsidRPr="003815BC" w:rsidTr="00435BC1">
        <w:tc>
          <w:tcPr>
            <w:tcW w:w="1165" w:type="dxa"/>
          </w:tcPr>
          <w:p w:rsidR="00435BC1" w:rsidRPr="003815BC" w:rsidRDefault="00435BC1" w:rsidP="00811E78">
            <w:pPr>
              <w:rPr>
                <w:rFonts w:eastAsiaTheme="minorEastAsia"/>
                <w:sz w:val="18"/>
                <w:szCs w:val="18"/>
                <w:lang w:val="en-GB" w:eastAsia="zh-CN"/>
              </w:rPr>
            </w:pPr>
            <w:r w:rsidRPr="003815BC">
              <w:rPr>
                <w:rFonts w:eastAsiaTheme="minorEastAsia" w:hint="eastAsia"/>
                <w:sz w:val="18"/>
                <w:szCs w:val="18"/>
                <w:lang w:val="en-GB" w:eastAsia="zh-CN"/>
              </w:rPr>
              <w:t>L</w:t>
            </w:r>
            <w:r w:rsidRPr="003815BC">
              <w:rPr>
                <w:rFonts w:eastAsiaTheme="minorEastAsia"/>
                <w:sz w:val="18"/>
                <w:szCs w:val="18"/>
                <w:lang w:val="en-GB" w:eastAsia="zh-CN"/>
              </w:rPr>
              <w:t>G</w:t>
            </w:r>
          </w:p>
        </w:tc>
        <w:tc>
          <w:tcPr>
            <w:tcW w:w="7895" w:type="dxa"/>
          </w:tcPr>
          <w:p w:rsidR="00435BC1" w:rsidRPr="003815BC" w:rsidRDefault="00435BC1" w:rsidP="00811E78">
            <w:pPr>
              <w:rPr>
                <w:rFonts w:eastAsiaTheme="minorEastAsia"/>
                <w:sz w:val="18"/>
                <w:szCs w:val="18"/>
                <w:lang w:val="en-GB" w:eastAsia="zh-CN"/>
              </w:rPr>
            </w:pPr>
            <w:r w:rsidRPr="003815BC">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3815BC">
              <w:rPr>
                <w:rFonts w:eastAsiaTheme="minorEastAsia"/>
                <w:sz w:val="18"/>
                <w:szCs w:val="18"/>
                <w:lang w:val="en-GB" w:eastAsia="zh-CN"/>
              </w:rPr>
              <w:t>neighbor</w:t>
            </w:r>
            <w:proofErr w:type="spellEnd"/>
            <w:r w:rsidRPr="003815BC">
              <w:rPr>
                <w:rFonts w:eastAsiaTheme="minorEastAsia"/>
                <w:sz w:val="18"/>
                <w:szCs w:val="18"/>
                <w:lang w:val="en-GB" w:eastAsia="zh-CN"/>
              </w:rPr>
              <w:t xml:space="preserve"> cell DL RS</w:t>
            </w:r>
          </w:p>
        </w:tc>
      </w:tr>
    </w:tbl>
    <w:p w:rsidR="000905F4" w:rsidRPr="00435BC1" w:rsidRDefault="000905F4" w:rsidP="000905F4">
      <w:pPr>
        <w:spacing w:line="360" w:lineRule="auto"/>
        <w:rPr>
          <w:rStyle w:val="normaltextrun"/>
          <w:rFonts w:eastAsiaTheme="minorEastAsia"/>
          <w:b/>
          <w:lang w:val="en-GB"/>
        </w:rPr>
      </w:pPr>
    </w:p>
    <w:p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rsidR="00C75F92" w:rsidRPr="007130BE" w:rsidRDefault="000C5E37" w:rsidP="000C5E37">
      <w:pPr>
        <w:spacing w:line="360" w:lineRule="auto"/>
        <w:rPr>
          <w:rStyle w:val="normaltextrun"/>
          <w:rFonts w:eastAsiaTheme="minorEastAsia"/>
          <w:b/>
          <w:lang w:val="en-GB"/>
        </w:rPr>
      </w:pPr>
      <w:proofErr w:type="gramStart"/>
      <w:r w:rsidRPr="007130BE">
        <w:rPr>
          <w:rStyle w:val="normaltextrun"/>
          <w:rFonts w:eastAsiaTheme="minorEastAsia"/>
          <w:b/>
          <w:lang w:val="en-GB"/>
        </w:rPr>
        <w:t>v</w:t>
      </w:r>
      <w:r w:rsidR="00C75F92" w:rsidRPr="007130BE">
        <w:rPr>
          <w:rStyle w:val="normaltextrun"/>
          <w:rFonts w:eastAsiaTheme="minorEastAsia"/>
          <w:b/>
          <w:lang w:val="en-GB"/>
        </w:rPr>
        <w:t>ivo</w:t>
      </w:r>
      <w:proofErr w:type="gramEnd"/>
    </w:p>
    <w:p w:rsidR="002A6012" w:rsidRPr="007130BE" w:rsidRDefault="001709E8" w:rsidP="00D65082">
      <w:pPr>
        <w:pStyle w:val="a0"/>
        <w:snapToGrid w:val="0"/>
        <w:spacing w:beforeLines="50" w:before="18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rsidR="007847ED" w:rsidRPr="007130BE" w:rsidRDefault="007847ED" w:rsidP="00D65082">
      <w:pPr>
        <w:pStyle w:val="a0"/>
        <w:snapToGrid w:val="0"/>
        <w:spacing w:beforeLines="50" w:before="18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rsidR="000D5B0C" w:rsidRPr="007130BE" w:rsidRDefault="000D5B0C" w:rsidP="000D5B0C">
      <w:pPr>
        <w:spacing w:line="360" w:lineRule="auto"/>
        <w:rPr>
          <w:rStyle w:val="normaltextrun"/>
          <w:rFonts w:eastAsiaTheme="minorEastAsia"/>
          <w:b/>
          <w:lang w:val="en-GB" w:eastAsia="zh-CN"/>
        </w:rPr>
      </w:pPr>
    </w:p>
    <w:p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rsidTr="00846DC4">
        <w:tc>
          <w:tcPr>
            <w:tcW w:w="1345" w:type="dxa"/>
            <w:shd w:val="clear" w:color="auto" w:fill="5B9BD5" w:themeFill="accent1"/>
          </w:tcPr>
          <w:p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rsidTr="00846DC4">
        <w:tc>
          <w:tcPr>
            <w:tcW w:w="1345" w:type="dxa"/>
          </w:tcPr>
          <w:p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rsidTr="00846DC4">
        <w:tc>
          <w:tcPr>
            <w:tcW w:w="1345" w:type="dxa"/>
          </w:tcPr>
          <w:p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rsidTr="00846DC4">
        <w:tc>
          <w:tcPr>
            <w:tcW w:w="1345" w:type="dxa"/>
          </w:tcPr>
          <w:p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rsidTr="00846DC4">
        <w:tc>
          <w:tcPr>
            <w:tcW w:w="1345" w:type="dxa"/>
          </w:tcPr>
          <w:p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rsidTr="00237144">
        <w:tc>
          <w:tcPr>
            <w:tcW w:w="1345" w:type="dxa"/>
          </w:tcPr>
          <w:p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lastRenderedPageBreak/>
              <w:t>HiSilicon</w:t>
            </w:r>
            <w:proofErr w:type="spellEnd"/>
          </w:p>
        </w:tc>
        <w:tc>
          <w:tcPr>
            <w:tcW w:w="7715" w:type="dxa"/>
          </w:tcPr>
          <w:p w:rsidR="00237144" w:rsidRDefault="00237144" w:rsidP="00311A3E">
            <w:pPr>
              <w:rPr>
                <w:rFonts w:eastAsiaTheme="minorEastAsia"/>
                <w:sz w:val="18"/>
                <w:szCs w:val="18"/>
                <w:lang w:val="en-GB" w:eastAsia="zh-CN"/>
              </w:rPr>
            </w:pPr>
            <w:r>
              <w:rPr>
                <w:rFonts w:eastAsiaTheme="minorEastAsia"/>
                <w:sz w:val="18"/>
                <w:szCs w:val="18"/>
                <w:lang w:val="en-GB" w:eastAsia="zh-CN"/>
              </w:rPr>
              <w:lastRenderedPageBreak/>
              <w:t xml:space="preserve">In principle, ok with the proposal. Still, according previous conclusion of reusing R15/R16 QCL </w:t>
            </w:r>
            <w:r>
              <w:rPr>
                <w:rFonts w:eastAsiaTheme="minorEastAsia"/>
                <w:sz w:val="18"/>
                <w:szCs w:val="18"/>
                <w:lang w:val="en-GB" w:eastAsia="zh-CN"/>
              </w:rPr>
              <w:lastRenderedPageBreak/>
              <w:t xml:space="preserve">relation, it is not allowed to explicitly indicate any SSB as direct QCL source for a CORESET, so there is no need to mention ‘direct’ case at all. </w:t>
            </w:r>
          </w:p>
        </w:tc>
      </w:tr>
      <w:tr w:rsidR="00323361" w:rsidTr="00237144">
        <w:tc>
          <w:tcPr>
            <w:tcW w:w="1345" w:type="dxa"/>
          </w:tcPr>
          <w:p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71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rsidTr="00731175">
        <w:tc>
          <w:tcPr>
            <w:tcW w:w="1345" w:type="dxa"/>
          </w:tcPr>
          <w:p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332064" w:rsidRDefault="00B66581" w:rsidP="00311A3E">
            <w:pPr>
              <w:rPr>
                <w:rFonts w:eastAsiaTheme="minorEastAsia"/>
                <w:sz w:val="18"/>
                <w:szCs w:val="18"/>
                <w:lang w:val="en-GB" w:eastAsia="zh-CN"/>
              </w:rPr>
            </w:pPr>
            <w:proofErr w:type="gramStart"/>
            <w:r>
              <w:rPr>
                <w:rFonts w:eastAsiaTheme="minorEastAsia"/>
                <w:sz w:val="18"/>
                <w:szCs w:val="18"/>
                <w:lang w:val="en-GB" w:eastAsia="zh-CN"/>
              </w:rPr>
              <w:t>support</w:t>
            </w:r>
            <w:proofErr w:type="gramEnd"/>
            <w:r>
              <w:rPr>
                <w:rFonts w:eastAsiaTheme="minorEastAsia"/>
                <w:sz w:val="18"/>
                <w:szCs w:val="18"/>
                <w:lang w:val="en-GB" w:eastAsia="zh-CN"/>
              </w:rPr>
              <w:t xml:space="preserve"> in principle, need further discussion on Type 3 CSS.</w:t>
            </w:r>
          </w:p>
        </w:tc>
      </w:tr>
      <w:tr w:rsidR="0009360B" w:rsidRPr="007130BE" w:rsidTr="00731175">
        <w:tc>
          <w:tcPr>
            <w:tcW w:w="1345" w:type="dxa"/>
          </w:tcPr>
          <w:p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rsidTr="00731175">
        <w:tc>
          <w:tcPr>
            <w:tcW w:w="1345" w:type="dxa"/>
          </w:tcPr>
          <w:p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rsidTr="00731175">
        <w:tc>
          <w:tcPr>
            <w:tcW w:w="134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in principle, and agree with QC/ZTE/OPPO/Xiaomi for further clarification.</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435BC1" w:rsidTr="00435BC1">
        <w:tc>
          <w:tcPr>
            <w:tcW w:w="1345" w:type="dxa"/>
          </w:tcPr>
          <w:p w:rsidR="00435BC1" w:rsidRDefault="00435BC1" w:rsidP="00811E78">
            <w:pPr>
              <w:rPr>
                <w:rFonts w:eastAsiaTheme="minorEastAsia"/>
                <w:sz w:val="18"/>
                <w:szCs w:val="18"/>
                <w:lang w:val="en-GB" w:eastAsia="zh-CN"/>
              </w:rPr>
            </w:pPr>
            <w:r>
              <w:rPr>
                <w:rFonts w:eastAsiaTheme="minorEastAsia"/>
                <w:sz w:val="18"/>
                <w:szCs w:val="18"/>
                <w:lang w:val="en-GB" w:eastAsia="zh-CN"/>
              </w:rPr>
              <w:t>LG</w:t>
            </w:r>
          </w:p>
        </w:tc>
        <w:tc>
          <w:tcPr>
            <w:tcW w:w="7715" w:type="dxa"/>
          </w:tcPr>
          <w:p w:rsidR="00435BC1" w:rsidRDefault="00435BC1" w:rsidP="00811E78">
            <w:pPr>
              <w:rPr>
                <w:rFonts w:eastAsiaTheme="minorEastAsia"/>
                <w:sz w:val="18"/>
                <w:szCs w:val="18"/>
                <w:lang w:val="en-GB" w:eastAsia="zh-CN"/>
              </w:rPr>
            </w:pPr>
            <w:r>
              <w:rPr>
                <w:rFonts w:eastAsiaTheme="minorEastAsia"/>
                <w:sz w:val="18"/>
                <w:szCs w:val="18"/>
                <w:lang w:val="en-GB" w:eastAsia="zh-CN"/>
              </w:rPr>
              <w:t>Support in principle</w:t>
            </w:r>
          </w:p>
        </w:tc>
      </w:tr>
    </w:tbl>
    <w:p w:rsidR="002E5C33" w:rsidRPr="00237144" w:rsidRDefault="002E5C33" w:rsidP="005D620A">
      <w:pPr>
        <w:spacing w:after="200" w:line="276" w:lineRule="auto"/>
        <w:contextualSpacing/>
        <w:rPr>
          <w:rStyle w:val="normaltextrun"/>
          <w:bCs/>
          <w:lang w:val="en-GB"/>
        </w:rPr>
      </w:pPr>
    </w:p>
    <w:p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rsidR="008156D3" w:rsidRPr="007130BE" w:rsidRDefault="00E34921" w:rsidP="00E34921">
      <w:pPr>
        <w:spacing w:line="360" w:lineRule="auto"/>
        <w:rPr>
          <w:rStyle w:val="normaltextrun"/>
          <w:rFonts w:eastAsiaTheme="minorEastAsia"/>
          <w:b/>
          <w:szCs w:val="20"/>
          <w:lang w:val="en-GB"/>
        </w:rPr>
      </w:pPr>
      <w:proofErr w:type="gramStart"/>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roofErr w:type="gramEnd"/>
    </w:p>
    <w:p w:rsidR="00B24972" w:rsidRPr="007130BE" w:rsidRDefault="00B24972" w:rsidP="00B24972">
      <w:pPr>
        <w:rPr>
          <w:rFonts w:eastAsia="SimSun"/>
          <w:bCs/>
          <w:szCs w:val="20"/>
          <w:lang w:val="en-GB" w:eastAsia="zh-CN"/>
        </w:rPr>
      </w:pPr>
      <w:r w:rsidRPr="007130BE">
        <w:rPr>
          <w:rFonts w:eastAsia="SimSun"/>
          <w:bCs/>
          <w:szCs w:val="20"/>
          <w:lang w:val="en-GB" w:eastAsia="zh-CN"/>
        </w:rPr>
        <w:t xml:space="preserve">Spatial relation and power control related configurations should be enhanced for SRS, PUCCH, </w:t>
      </w:r>
      <w:proofErr w:type="gramStart"/>
      <w:r w:rsidRPr="007130BE">
        <w:rPr>
          <w:rFonts w:eastAsia="SimSun"/>
          <w:bCs/>
          <w:szCs w:val="20"/>
          <w:lang w:val="en-GB" w:eastAsia="zh-CN"/>
        </w:rPr>
        <w:t>PUSCH</w:t>
      </w:r>
      <w:proofErr w:type="gramEnd"/>
      <w:r w:rsidRPr="007130BE">
        <w:rPr>
          <w:rFonts w:eastAsia="SimSun"/>
          <w:bCs/>
          <w:szCs w:val="20"/>
          <w:lang w:val="en-GB" w:eastAsia="zh-CN"/>
        </w:rPr>
        <w:t xml:space="preserve"> transmission towards target cell.</w:t>
      </w:r>
    </w:p>
    <w:p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rsidR="00C674E3" w:rsidRPr="007130BE" w:rsidRDefault="00C674E3" w:rsidP="00D65082">
      <w:pPr>
        <w:pStyle w:val="af"/>
        <w:spacing w:beforeLines="50" w:before="18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lastRenderedPageBreak/>
        <w:t>DOCOMO</w:t>
      </w:r>
    </w:p>
    <w:p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rsidR="002F5BD3" w:rsidRPr="007130BE" w:rsidRDefault="002F5BD3" w:rsidP="00B24972">
      <w:pPr>
        <w:rPr>
          <w:rFonts w:eastAsiaTheme="minorEastAsia"/>
          <w:lang w:val="en-GB" w:eastAsia="zh-CN"/>
        </w:rPr>
      </w:pPr>
    </w:p>
    <w:p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rsidR="009075F0" w:rsidRPr="007130BE" w:rsidRDefault="009075F0" w:rsidP="00716C2D">
      <w:pPr>
        <w:spacing w:after="0"/>
        <w:rPr>
          <w:rFonts w:eastAsiaTheme="minorEastAsia"/>
          <w:bCs/>
          <w:szCs w:val="20"/>
          <w:lang w:val="en-GB" w:eastAsia="zh-CN"/>
        </w:rPr>
      </w:pPr>
    </w:p>
    <w:p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rsidTr="00846DC4">
        <w:tc>
          <w:tcPr>
            <w:tcW w:w="134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rsidTr="00846DC4">
        <w:tc>
          <w:tcPr>
            <w:tcW w:w="1345" w:type="dxa"/>
          </w:tcPr>
          <w:p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rsidTr="00846DC4">
        <w:tc>
          <w:tcPr>
            <w:tcW w:w="1345" w:type="dxa"/>
          </w:tcPr>
          <w:p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rsidTr="00846DC4">
        <w:tc>
          <w:tcPr>
            <w:tcW w:w="1345" w:type="dxa"/>
          </w:tcPr>
          <w:p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xml:space="preserve">, but I wonder if we need to discuss this.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rsidTr="00846DC4">
        <w:tc>
          <w:tcPr>
            <w:tcW w:w="1345" w:type="dxa"/>
          </w:tcPr>
          <w:p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rsidTr="004F30B1">
        <w:tc>
          <w:tcPr>
            <w:tcW w:w="1345" w:type="dxa"/>
          </w:tcPr>
          <w:p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Tr="004F30B1">
        <w:tc>
          <w:tcPr>
            <w:tcW w:w="1345" w:type="dxa"/>
          </w:tcPr>
          <w:p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rsidTr="00731175">
        <w:tc>
          <w:tcPr>
            <w:tcW w:w="134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rsidTr="00731175">
        <w:tc>
          <w:tcPr>
            <w:tcW w:w="1345" w:type="dxa"/>
          </w:tcPr>
          <w:p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rsidTr="00731175">
        <w:tc>
          <w:tcPr>
            <w:tcW w:w="1345" w:type="dxa"/>
          </w:tcPr>
          <w:p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rsidTr="00731175">
        <w:tc>
          <w:tcPr>
            <w:tcW w:w="134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rsidTr="00731175">
        <w:tc>
          <w:tcPr>
            <w:tcW w:w="134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rsidTr="00731175">
        <w:tc>
          <w:tcPr>
            <w:tcW w:w="134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r w:rsidR="00435BC1" w:rsidTr="00435BC1">
        <w:tc>
          <w:tcPr>
            <w:tcW w:w="1345" w:type="dxa"/>
          </w:tcPr>
          <w:p w:rsidR="00435BC1" w:rsidRDefault="00435BC1" w:rsidP="00811E78">
            <w:pPr>
              <w:rPr>
                <w:rFonts w:eastAsiaTheme="minorEastAsia"/>
                <w:sz w:val="18"/>
                <w:szCs w:val="18"/>
                <w:lang w:eastAsia="zh-CN"/>
              </w:rPr>
            </w:pPr>
            <w:r>
              <w:rPr>
                <w:rFonts w:eastAsiaTheme="minorEastAsia"/>
                <w:sz w:val="18"/>
                <w:szCs w:val="18"/>
                <w:lang w:val="en-GB" w:eastAsia="zh-CN"/>
              </w:rPr>
              <w:t>LG</w:t>
            </w:r>
          </w:p>
        </w:tc>
        <w:tc>
          <w:tcPr>
            <w:tcW w:w="7715" w:type="dxa"/>
          </w:tcPr>
          <w:p w:rsidR="00435BC1" w:rsidRDefault="00435BC1" w:rsidP="00811E78">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bl>
    <w:p w:rsidR="00FE37FA" w:rsidRPr="004F30B1" w:rsidRDefault="00FE37FA" w:rsidP="00A416C5">
      <w:pPr>
        <w:spacing w:after="200" w:line="276" w:lineRule="auto"/>
        <w:contextualSpacing/>
        <w:rPr>
          <w:rStyle w:val="normaltextrun"/>
          <w:bCs/>
          <w:lang w:val="en-GB"/>
        </w:rPr>
      </w:pPr>
    </w:p>
    <w:p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rsidR="00CE3713" w:rsidRPr="007130BE" w:rsidRDefault="00E6108A" w:rsidP="00D65082">
      <w:pPr>
        <w:pStyle w:val="a0"/>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OPPO</w:t>
      </w:r>
    </w:p>
    <w:p w:rsidR="00E6108A" w:rsidRPr="007130BE" w:rsidRDefault="00E6108A" w:rsidP="00D65082">
      <w:pPr>
        <w:pStyle w:val="a0"/>
        <w:snapToGrid w:val="0"/>
        <w:spacing w:beforeLines="50" w:before="180"/>
        <w:rPr>
          <w:rStyle w:val="normaltextrun"/>
          <w:rFonts w:eastAsiaTheme="minorEastAsia"/>
          <w:b/>
          <w:lang w:val="en-GB" w:eastAsia="zh-CN"/>
        </w:rPr>
      </w:pPr>
      <w:r w:rsidRPr="007130BE">
        <w:rPr>
          <w:rFonts w:eastAsia="SimSun"/>
          <w:iCs/>
          <w:szCs w:val="20"/>
          <w:lang w:val="en-GB" w:eastAsia="zh-CN"/>
        </w:rPr>
        <w:lastRenderedPageBreak/>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rsidR="00E46404" w:rsidRPr="007130BE" w:rsidRDefault="00437C51" w:rsidP="00D65082">
      <w:pPr>
        <w:pStyle w:val="a0"/>
        <w:snapToGrid w:val="0"/>
        <w:spacing w:beforeLines="50" w:before="18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rsidR="00B24972" w:rsidRPr="007130BE" w:rsidRDefault="00A722F0"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rsidR="00B3415D" w:rsidRPr="007130BE" w:rsidRDefault="00B3415D"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CATT</w:t>
      </w:r>
    </w:p>
    <w:p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rsidR="00E667E3" w:rsidRPr="007130BE" w:rsidRDefault="00E667E3"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ZTE</w:t>
      </w:r>
    </w:p>
    <w:p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rsidR="00E9304D" w:rsidRPr="007130BE" w:rsidRDefault="00E9304D" w:rsidP="00356678">
      <w:pPr>
        <w:spacing w:after="0"/>
        <w:rPr>
          <w:bCs/>
          <w:iCs/>
          <w:color w:val="212121"/>
          <w:szCs w:val="20"/>
          <w:lang w:val="en-GB"/>
        </w:rPr>
      </w:pPr>
    </w:p>
    <w:p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rsidTr="00846DC4">
        <w:tc>
          <w:tcPr>
            <w:tcW w:w="125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rsidTr="00846DC4">
        <w:tc>
          <w:tcPr>
            <w:tcW w:w="1255" w:type="dxa"/>
          </w:tcPr>
          <w:p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rsidTr="00846DC4">
        <w:tc>
          <w:tcPr>
            <w:tcW w:w="1255" w:type="dxa"/>
          </w:tcPr>
          <w:p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rsidTr="00846DC4">
        <w:tc>
          <w:tcPr>
            <w:tcW w:w="1255" w:type="dxa"/>
          </w:tcPr>
          <w:p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w:t>
            </w:r>
            <w:proofErr w:type="gramStart"/>
            <w:r w:rsidR="00E33778">
              <w:rPr>
                <w:rFonts w:eastAsiaTheme="minorEastAsia"/>
                <w:sz w:val="18"/>
                <w:szCs w:val="18"/>
                <w:lang w:val="en-GB" w:eastAsia="zh-CN"/>
              </w:rPr>
              <w:t>a</w:t>
            </w:r>
            <w:proofErr w:type="gramEnd"/>
            <w:r w:rsidR="00E33778">
              <w:rPr>
                <w:rFonts w:eastAsiaTheme="minorEastAsia"/>
                <w:sz w:val="18"/>
                <w:szCs w:val="18"/>
                <w:lang w:val="en-GB" w:eastAsia="zh-CN"/>
              </w:rPr>
              <w:t xml:space="preserve">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rsidTr="00846DC4">
        <w:tc>
          <w:tcPr>
            <w:tcW w:w="1255" w:type="dxa"/>
          </w:tcPr>
          <w:p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rsidTr="00846DC4">
        <w:tc>
          <w:tcPr>
            <w:tcW w:w="1255" w:type="dxa"/>
          </w:tcPr>
          <w:p w:rsidR="00323361" w:rsidRDefault="00323361" w:rsidP="00FB4E98">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rsidTr="00731175">
        <w:tc>
          <w:tcPr>
            <w:tcW w:w="1255" w:type="dxa"/>
          </w:tcPr>
          <w:p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rsidTr="00731175">
        <w:tc>
          <w:tcPr>
            <w:tcW w:w="125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rsidTr="00731175">
        <w:tc>
          <w:tcPr>
            <w:tcW w:w="1255" w:type="dxa"/>
          </w:tcPr>
          <w:p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rsidTr="00731175">
        <w:tc>
          <w:tcPr>
            <w:tcW w:w="1255" w:type="dxa"/>
          </w:tcPr>
          <w:p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rsidTr="00731175">
        <w:tc>
          <w:tcPr>
            <w:tcW w:w="1255" w:type="dxa"/>
          </w:tcPr>
          <w:p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rsidTr="00731175">
        <w:tc>
          <w:tcPr>
            <w:tcW w:w="125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tr w:rsidR="00435BC1" w:rsidRPr="007130BE" w:rsidTr="00435BC1">
        <w:tc>
          <w:tcPr>
            <w:tcW w:w="1255" w:type="dxa"/>
          </w:tcPr>
          <w:p w:rsidR="00435BC1" w:rsidRPr="007130BE" w:rsidRDefault="00435BC1" w:rsidP="00811E78">
            <w:pPr>
              <w:rPr>
                <w:rFonts w:eastAsiaTheme="minorEastAsia"/>
                <w:sz w:val="18"/>
                <w:szCs w:val="18"/>
                <w:lang w:val="en-GB" w:eastAsia="zh-CN"/>
              </w:rPr>
            </w:pPr>
            <w:r>
              <w:rPr>
                <w:rFonts w:eastAsiaTheme="minorEastAsia"/>
                <w:sz w:val="18"/>
                <w:szCs w:val="18"/>
                <w:lang w:val="en-GB" w:eastAsia="zh-CN"/>
              </w:rPr>
              <w:t>LG</w:t>
            </w:r>
          </w:p>
        </w:tc>
        <w:tc>
          <w:tcPr>
            <w:tcW w:w="7805" w:type="dxa"/>
          </w:tcPr>
          <w:p w:rsidR="00435BC1" w:rsidRPr="007130BE" w:rsidRDefault="00435BC1" w:rsidP="00811E78">
            <w:pPr>
              <w:rPr>
                <w:rFonts w:eastAsiaTheme="minorEastAsia"/>
                <w:sz w:val="18"/>
                <w:szCs w:val="18"/>
                <w:lang w:val="en-GB" w:eastAsia="zh-CN"/>
              </w:rPr>
            </w:pPr>
            <w:r>
              <w:rPr>
                <w:rFonts w:eastAsiaTheme="minorEastAsia"/>
                <w:sz w:val="18"/>
                <w:szCs w:val="18"/>
                <w:lang w:val="en-GB" w:eastAsia="zh-CN"/>
              </w:rPr>
              <w:t>Same view with ZTE and CATT</w:t>
            </w:r>
          </w:p>
        </w:tc>
      </w:tr>
    </w:tbl>
    <w:p w:rsidR="00CF66B4" w:rsidRPr="00435BC1" w:rsidRDefault="00CF66B4" w:rsidP="00327CE6">
      <w:pPr>
        <w:spacing w:line="360" w:lineRule="auto"/>
        <w:rPr>
          <w:rFonts w:eastAsiaTheme="minorEastAsia" w:cs="Times"/>
          <w:lang w:val="en-GB" w:eastAsia="zh-CN"/>
        </w:rPr>
      </w:pPr>
    </w:p>
    <w:p w:rsidR="00DE4B8C" w:rsidRPr="007130BE" w:rsidRDefault="00DE4B8C" w:rsidP="00DE4B8C">
      <w:pPr>
        <w:pStyle w:val="title2"/>
        <w:rPr>
          <w:sz w:val="24"/>
        </w:rPr>
      </w:pPr>
      <w:bookmarkStart w:id="3" w:name="_GoBack"/>
      <w:bookmarkEnd w:id="3"/>
      <w:r w:rsidRPr="007130BE">
        <w:rPr>
          <w:sz w:val="24"/>
        </w:rPr>
        <w:t xml:space="preserve">Item </w:t>
      </w:r>
      <w:r w:rsidR="00454239" w:rsidRPr="007130BE">
        <w:rPr>
          <w:sz w:val="24"/>
        </w:rPr>
        <w:t>8</w:t>
      </w:r>
      <w:r w:rsidRPr="007130BE">
        <w:rPr>
          <w:sz w:val="24"/>
        </w:rPr>
        <w:t xml:space="preserve">: Others </w:t>
      </w:r>
    </w:p>
    <w:p w:rsidR="008E1453" w:rsidRPr="007130BE" w:rsidRDefault="00E667E3" w:rsidP="00E34921">
      <w:pPr>
        <w:pStyle w:val="0Maintext"/>
        <w:spacing w:after="0" w:line="240" w:lineRule="auto"/>
        <w:ind w:firstLine="0"/>
        <w:rPr>
          <w:rStyle w:val="normaltextrun"/>
          <w:b/>
        </w:rPr>
      </w:pPr>
      <w:r w:rsidRPr="007130BE">
        <w:rPr>
          <w:rStyle w:val="normaltextrun"/>
          <w:b/>
        </w:rPr>
        <w:t>ZTE</w:t>
      </w:r>
    </w:p>
    <w:p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rsidR="00E667E3" w:rsidRPr="007130BE" w:rsidRDefault="00E667E3" w:rsidP="00E667E3">
      <w:pPr>
        <w:rPr>
          <w:rFonts w:eastAsia="PMingLiU"/>
          <w:lang w:val="en-GB" w:eastAsia="zh-TW"/>
        </w:rPr>
      </w:pPr>
    </w:p>
    <w:p w:rsidR="000C1D07" w:rsidRPr="007130BE" w:rsidRDefault="000C1D07" w:rsidP="00E34921">
      <w:pPr>
        <w:pStyle w:val="0Maintext"/>
        <w:spacing w:after="0" w:line="240" w:lineRule="auto"/>
        <w:ind w:firstLine="0"/>
        <w:rPr>
          <w:rStyle w:val="normaltextrun"/>
          <w:b/>
        </w:rPr>
      </w:pPr>
      <w:r w:rsidRPr="007130BE">
        <w:rPr>
          <w:rStyle w:val="normaltextrun"/>
          <w:b/>
        </w:rPr>
        <w:t>Xiaomi</w:t>
      </w:r>
    </w:p>
    <w:p w:rsidR="000C1D07" w:rsidRPr="007130BE" w:rsidRDefault="000C1D07" w:rsidP="000C1D07">
      <w:pPr>
        <w:rPr>
          <w:lang w:val="en-GB" w:eastAsia="zh-CN"/>
        </w:rPr>
      </w:pPr>
      <w:r w:rsidRPr="007130BE">
        <w:rPr>
          <w:lang w:val="en-GB" w:eastAsia="zh-CN"/>
        </w:rPr>
        <w:t>Group based beam reporting is slightly preferred for inter-cell beam pairing.</w:t>
      </w:r>
    </w:p>
    <w:p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rsidR="000C1D07" w:rsidRPr="007130BE" w:rsidRDefault="000C1D07" w:rsidP="00E667E3">
      <w:pPr>
        <w:rPr>
          <w:rFonts w:eastAsiaTheme="minorEastAsia"/>
          <w:lang w:val="en-GB" w:eastAsia="zh-CN"/>
        </w:rPr>
      </w:pPr>
    </w:p>
    <w:p w:rsidR="00A24123" w:rsidRPr="007130BE" w:rsidRDefault="00A24123" w:rsidP="00E34921">
      <w:pPr>
        <w:pStyle w:val="0Maintext"/>
        <w:spacing w:after="0" w:line="240" w:lineRule="auto"/>
        <w:ind w:firstLine="0"/>
        <w:rPr>
          <w:rStyle w:val="normaltextrun"/>
          <w:b/>
        </w:rPr>
      </w:pPr>
      <w:r w:rsidRPr="007130BE">
        <w:rPr>
          <w:rStyle w:val="normaltextrun"/>
          <w:b/>
        </w:rPr>
        <w:t>Intel</w:t>
      </w:r>
    </w:p>
    <w:p w:rsidR="00A24123" w:rsidRPr="007130BE" w:rsidRDefault="00A24123" w:rsidP="00A24123">
      <w:pPr>
        <w:rPr>
          <w:bCs/>
          <w:iCs/>
          <w:lang w:val="en-GB"/>
        </w:rPr>
      </w:pPr>
      <w:r w:rsidRPr="007130BE">
        <w:rPr>
          <w:bCs/>
          <w:iCs/>
          <w:lang w:val="en-GB"/>
        </w:rPr>
        <w:t>Consider associating the following with a TCI-State including SSB-Index from another PCID:</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 xml:space="preserve">DCI </w:t>
      </w:r>
      <w:proofErr w:type="spellStart"/>
      <w:r w:rsidRPr="007130BE">
        <w:rPr>
          <w:bCs/>
          <w:iCs/>
          <w:lang w:val="en-GB"/>
        </w:rPr>
        <w:t>codepoint</w:t>
      </w:r>
      <w:proofErr w:type="spellEnd"/>
      <w:r w:rsidRPr="007130BE">
        <w:rPr>
          <w:bCs/>
          <w:iCs/>
          <w:lang w:val="en-GB"/>
        </w:rPr>
        <w:t xml:space="preserve"> for TCI-State switching</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rsidR="00A24123" w:rsidRPr="007130BE" w:rsidRDefault="00A24123" w:rsidP="00E667E3">
      <w:pPr>
        <w:rPr>
          <w:rFonts w:eastAsiaTheme="minorEastAsia"/>
          <w:lang w:val="en-GB" w:eastAsia="zh-CN"/>
        </w:rPr>
      </w:pPr>
    </w:p>
    <w:p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2: UE does not expect the set of SSB symbols to </w:t>
      </w:r>
      <w:proofErr w:type="gramStart"/>
      <w:r w:rsidRPr="007130BE">
        <w:rPr>
          <w:rFonts w:ascii="Times New Roman" w:hAnsi="Times New Roman"/>
          <w:iCs/>
          <w:lang w:val="en-GB"/>
        </w:rPr>
        <w:t>indicated</w:t>
      </w:r>
      <w:proofErr w:type="gramEnd"/>
      <w:r w:rsidRPr="007130BE">
        <w:rPr>
          <w:rFonts w:ascii="Times New Roman" w:hAnsi="Times New Roman"/>
          <w:iCs/>
          <w:lang w:val="en-GB"/>
        </w:rPr>
        <w:t xml:space="preserve"> as uplink symbols either semi-statically or dynamically (by SFI) [38.213, Section 11.1 and Section 11.1.1].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w:t>
      </w:r>
      <w:proofErr w:type="spellStart"/>
      <w:r w:rsidRPr="007130BE">
        <w:rPr>
          <w:rFonts w:ascii="Times New Roman" w:hAnsi="Times New Roman"/>
          <w:iCs/>
          <w:lang w:val="en-GB"/>
        </w:rPr>
        <w:t>tition</w:t>
      </w:r>
      <w:proofErr w:type="spellEnd"/>
      <w:r w:rsidRPr="007130BE">
        <w:rPr>
          <w:rFonts w:ascii="Times New Roman" w:hAnsi="Times New Roman"/>
          <w:iCs/>
          <w:lang w:val="en-GB"/>
        </w:rPr>
        <w:t xml:space="preserve">,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rsidR="000B5546" w:rsidRPr="007130BE" w:rsidRDefault="000B5546" w:rsidP="00E667E3">
      <w:pPr>
        <w:rPr>
          <w:rFonts w:eastAsiaTheme="minorEastAsia"/>
          <w:lang w:val="en-GB" w:eastAsia="zh-CN"/>
        </w:rPr>
      </w:pPr>
    </w:p>
    <w:p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rsidR="00E02CD1" w:rsidRPr="007130BE" w:rsidRDefault="00E02CD1" w:rsidP="00E667E3">
      <w:pPr>
        <w:rPr>
          <w:rFonts w:eastAsiaTheme="minorEastAsia"/>
          <w:lang w:val="en-GB" w:eastAsia="zh-CN"/>
        </w:rPr>
      </w:pPr>
    </w:p>
    <w:p w:rsidR="00E02CD1" w:rsidRPr="007130BE" w:rsidRDefault="00E02CD1" w:rsidP="00E667E3">
      <w:pPr>
        <w:rPr>
          <w:rFonts w:eastAsiaTheme="minorEastAsia"/>
          <w:lang w:val="en-GB" w:eastAsia="zh-CN"/>
        </w:rPr>
      </w:pPr>
    </w:p>
    <w:p w:rsidR="00620028" w:rsidRPr="007130BE" w:rsidRDefault="00620028" w:rsidP="00E34921">
      <w:pPr>
        <w:pStyle w:val="0Maintext"/>
        <w:spacing w:after="0" w:line="240" w:lineRule="auto"/>
        <w:ind w:firstLine="0"/>
        <w:rPr>
          <w:rStyle w:val="normaltextrun"/>
          <w:b/>
        </w:rPr>
      </w:pPr>
      <w:r w:rsidRPr="007130BE">
        <w:rPr>
          <w:rStyle w:val="normaltextrun"/>
          <w:b/>
        </w:rPr>
        <w:t>Samsung</w:t>
      </w:r>
    </w:p>
    <w:p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rsidR="00620028" w:rsidRPr="007130BE" w:rsidRDefault="00620028" w:rsidP="00620028">
      <w:pPr>
        <w:pStyle w:val="0Maintext"/>
        <w:numPr>
          <w:ilvl w:val="0"/>
          <w:numId w:val="14"/>
        </w:numPr>
        <w:spacing w:after="60" w:afterAutospacing="0"/>
        <w:rPr>
          <w:lang w:eastAsia="ko-KR"/>
        </w:rPr>
      </w:pPr>
      <w:r w:rsidRPr="007130BE">
        <w:rPr>
          <w:lang w:eastAsia="ko-KR"/>
        </w:rPr>
        <w:lastRenderedPageBreak/>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rsidR="00620028" w:rsidRPr="007130BE" w:rsidRDefault="00620028" w:rsidP="00E667E3">
      <w:pPr>
        <w:rPr>
          <w:rFonts w:eastAsiaTheme="minorEastAsia"/>
          <w:lang w:val="en-GB" w:eastAsia="zh-CN"/>
        </w:rPr>
      </w:pPr>
    </w:p>
    <w:p w:rsidR="008156D3" w:rsidRPr="007130BE" w:rsidRDefault="00A40D0B" w:rsidP="00E34921">
      <w:pPr>
        <w:pStyle w:val="0Maintext"/>
        <w:spacing w:after="0" w:line="240" w:lineRule="auto"/>
        <w:ind w:firstLine="0"/>
        <w:rPr>
          <w:rStyle w:val="normaltextrun"/>
          <w:b/>
        </w:rPr>
      </w:pPr>
      <w:r w:rsidRPr="007130BE">
        <w:rPr>
          <w:rStyle w:val="normaltextrun"/>
          <w:b/>
        </w:rPr>
        <w:t>Sony</w:t>
      </w:r>
    </w:p>
    <w:p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rsidR="00595431" w:rsidRPr="007130BE" w:rsidRDefault="00595431" w:rsidP="00615216">
      <w:pPr>
        <w:spacing w:line="360" w:lineRule="auto"/>
        <w:rPr>
          <w:rFonts w:eastAsiaTheme="minorEastAsia" w:cs="Times"/>
          <w:lang w:val="en-GB" w:eastAsia="zh-CN"/>
        </w:rPr>
      </w:pPr>
    </w:p>
    <w:p w:rsidR="00595431" w:rsidRPr="007130BE" w:rsidRDefault="00595431" w:rsidP="00E34921">
      <w:pPr>
        <w:pStyle w:val="0Maintext"/>
        <w:spacing w:after="0" w:line="240" w:lineRule="auto"/>
        <w:ind w:firstLine="0"/>
        <w:rPr>
          <w:rStyle w:val="normaltextrun"/>
          <w:b/>
        </w:rPr>
      </w:pPr>
      <w:r w:rsidRPr="007130BE">
        <w:rPr>
          <w:rStyle w:val="normaltextrun"/>
          <w:b/>
        </w:rPr>
        <w:t>LG</w:t>
      </w:r>
    </w:p>
    <w:p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rsidR="00595431" w:rsidRPr="007130BE" w:rsidRDefault="00595431" w:rsidP="00615216">
      <w:pPr>
        <w:spacing w:line="360" w:lineRule="auto"/>
        <w:rPr>
          <w:rFonts w:eastAsiaTheme="minorEastAsia" w:cs="Times"/>
          <w:lang w:val="en-GB" w:eastAsia="zh-CN"/>
        </w:rPr>
      </w:pPr>
    </w:p>
    <w:p w:rsidR="00A40D0B" w:rsidRPr="007130BE" w:rsidRDefault="003E6132" w:rsidP="00E34921">
      <w:pPr>
        <w:pStyle w:val="0Maintext"/>
        <w:spacing w:after="0" w:line="240" w:lineRule="auto"/>
        <w:ind w:firstLine="0"/>
        <w:rPr>
          <w:rStyle w:val="normaltextrun"/>
          <w:b/>
        </w:rPr>
      </w:pPr>
      <w:r w:rsidRPr="007130BE">
        <w:rPr>
          <w:rStyle w:val="normaltextrun"/>
          <w:b/>
        </w:rPr>
        <w:t>Nokia</w:t>
      </w:r>
    </w:p>
    <w:p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rsidR="003E6132" w:rsidRPr="007130BE" w:rsidRDefault="003E6132" w:rsidP="00615216">
      <w:pPr>
        <w:spacing w:line="360" w:lineRule="auto"/>
        <w:rPr>
          <w:rFonts w:eastAsiaTheme="minorEastAsia" w:cs="Times"/>
          <w:lang w:val="en-GB" w:eastAsia="zh-CN"/>
        </w:rPr>
      </w:pPr>
    </w:p>
    <w:p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rsidTr="00854E53">
        <w:tc>
          <w:tcPr>
            <w:tcW w:w="1255" w:type="dxa"/>
            <w:shd w:val="clear" w:color="auto" w:fill="5B9BD5" w:themeFill="accent1"/>
          </w:tcPr>
          <w:p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rsidTr="00854E53">
        <w:tc>
          <w:tcPr>
            <w:tcW w:w="1255" w:type="dxa"/>
          </w:tcPr>
          <w:p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rsidTr="00854E53">
        <w:tc>
          <w:tcPr>
            <w:tcW w:w="1255" w:type="dxa"/>
          </w:tcPr>
          <w:p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rsidTr="00854E53">
        <w:tc>
          <w:tcPr>
            <w:tcW w:w="1255" w:type="dxa"/>
          </w:tcPr>
          <w:p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proofErr w:type="gramStart"/>
            <w:r>
              <w:rPr>
                <w:rFonts w:eastAsiaTheme="minorEastAsia"/>
                <w:sz w:val="18"/>
                <w:szCs w:val="18"/>
                <w:lang w:val="en-GB" w:eastAsia="zh-CN"/>
              </w:rPr>
              <w:t>A</w:t>
            </w:r>
            <w:proofErr w:type="spellEnd"/>
            <w:proofErr w:type="gramEnd"/>
            <w:r>
              <w:rPr>
                <w:rFonts w:eastAsiaTheme="minorEastAsia"/>
                <w:sz w:val="18"/>
                <w:szCs w:val="18"/>
                <w:lang w:val="en-GB" w:eastAsia="zh-CN"/>
              </w:rPr>
              <w:t xml:space="preserve"> issue needs to be clarified. </w:t>
            </w:r>
            <w:r w:rsidR="004C7F25">
              <w:rPr>
                <w:rFonts w:eastAsiaTheme="minorEastAsia"/>
                <w:sz w:val="18"/>
                <w:szCs w:val="18"/>
                <w:lang w:val="en-GB" w:eastAsia="zh-CN"/>
              </w:rPr>
              <w:t>(</w:t>
            </w:r>
            <w:proofErr w:type="gramStart"/>
            <w:r w:rsidR="004C7F25">
              <w:rPr>
                <w:rFonts w:eastAsiaTheme="minorEastAsia"/>
                <w:sz w:val="18"/>
                <w:szCs w:val="18"/>
                <w:lang w:val="en-GB" w:eastAsia="zh-CN"/>
              </w:rPr>
              <w:t>includes</w:t>
            </w:r>
            <w:proofErr w:type="gramEnd"/>
            <w:r w:rsidR="004C7F25">
              <w:rPr>
                <w:rFonts w:eastAsiaTheme="minorEastAsia"/>
                <w:sz w:val="18"/>
                <w:szCs w:val="18"/>
                <w:lang w:val="en-GB" w:eastAsia="zh-CN"/>
              </w:rPr>
              <w:t xml:space="preserve">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rsidR="00615216" w:rsidRPr="007130BE" w:rsidRDefault="00615216" w:rsidP="00D65082">
      <w:pPr>
        <w:pStyle w:val="a0"/>
        <w:snapToGrid w:val="0"/>
        <w:spacing w:beforeLines="50" w:before="180"/>
        <w:rPr>
          <w:rFonts w:eastAsia="SimSun"/>
          <w:sz w:val="24"/>
          <w:lang w:val="en-GB"/>
        </w:rPr>
      </w:pPr>
    </w:p>
    <w:p w:rsidR="00615216" w:rsidRPr="007130BE" w:rsidRDefault="00615216" w:rsidP="00D65082">
      <w:pPr>
        <w:pStyle w:val="a0"/>
        <w:snapToGrid w:val="0"/>
        <w:spacing w:beforeLines="50" w:before="180"/>
        <w:rPr>
          <w:rFonts w:eastAsia="SimSun"/>
          <w:sz w:val="24"/>
          <w:lang w:val="en-GB"/>
        </w:rPr>
      </w:pPr>
    </w:p>
    <w:p w:rsidR="00EA46EF" w:rsidRPr="007130BE" w:rsidRDefault="00EA46EF" w:rsidP="00D65082">
      <w:pPr>
        <w:pStyle w:val="title1"/>
        <w:spacing w:before="180" w:after="180"/>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rsidR="00D47585" w:rsidRPr="007130BE" w:rsidRDefault="00D47585" w:rsidP="00D47585">
            <w:pPr>
              <w:rPr>
                <w:kern w:val="2"/>
                <w:lang w:val="en-GB" w:eastAsia="zh-CN"/>
              </w:rPr>
            </w:pPr>
          </w:p>
          <w:p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F40786" w:rsidRPr="007130BE" w:rsidRDefault="00F40786" w:rsidP="00F40786">
            <w:pPr>
              <w:spacing w:after="0"/>
              <w:contextualSpacing/>
              <w:rPr>
                <w:rFonts w:ascii="Times" w:hAnsi="Times" w:cs="Times"/>
                <w:bCs/>
                <w:iCs/>
                <w:sz w:val="22"/>
                <w:szCs w:val="22"/>
                <w:lang w:val="en-GB"/>
              </w:rPr>
            </w:pPr>
          </w:p>
          <w:p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rsidR="00F40786" w:rsidRPr="007130BE" w:rsidRDefault="00F40786" w:rsidP="00F40786">
            <w:pPr>
              <w:spacing w:after="0"/>
              <w:contextualSpacing/>
              <w:rPr>
                <w:rFonts w:ascii="Times" w:hAnsi="Times" w:cs="Times"/>
                <w:sz w:val="22"/>
                <w:szCs w:val="22"/>
                <w:lang w:val="en-GB"/>
              </w:rPr>
            </w:pPr>
          </w:p>
          <w:p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4003D4" w:rsidRPr="007130BE" w:rsidRDefault="004003D4" w:rsidP="004003D4">
            <w:pPr>
              <w:rPr>
                <w:lang w:val="en-GB" w:eastAsia="zh-CN"/>
              </w:rPr>
            </w:pPr>
            <w:r w:rsidRPr="007130BE">
              <w:rPr>
                <w:lang w:val="en-GB" w:eastAsia="zh-CN"/>
              </w:rPr>
              <w:t>Proposal 1: Support to indicate/associate non-serving cell PCI in the TCI state.</w:t>
            </w:r>
          </w:p>
          <w:p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F40BF" w:rsidRPr="007130BE" w:rsidRDefault="006F40BF" w:rsidP="00D65082">
            <w:pPr>
              <w:pStyle w:val="a0"/>
              <w:snapToGrid w:val="0"/>
              <w:spacing w:beforeLines="50" w:before="180"/>
              <w:rPr>
                <w:rFonts w:eastAsia="SimSun"/>
                <w:bCs/>
                <w:lang w:val="en-GB" w:eastAsia="zh-CN"/>
              </w:rPr>
            </w:pPr>
          </w:p>
          <w:p w:rsidR="006F40BF" w:rsidRPr="007130BE" w:rsidRDefault="006F40BF" w:rsidP="00D65082">
            <w:pPr>
              <w:pStyle w:val="a0"/>
              <w:snapToGrid w:val="0"/>
              <w:spacing w:beforeLines="50" w:before="18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rsidR="006F40BF" w:rsidRPr="007130BE" w:rsidRDefault="006F40BF" w:rsidP="00D65082">
            <w:pPr>
              <w:pStyle w:val="a0"/>
              <w:snapToGrid w:val="0"/>
              <w:spacing w:beforeLines="50" w:before="18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rsidR="006F40BF" w:rsidRPr="007130BE" w:rsidRDefault="006F40BF" w:rsidP="00D65082">
            <w:pPr>
              <w:pStyle w:val="a0"/>
              <w:snapToGrid w:val="0"/>
              <w:spacing w:beforeLines="50" w:before="180"/>
              <w:rPr>
                <w:rFonts w:eastAsia="SimSun"/>
                <w:bCs/>
                <w:lang w:val="en-GB" w:eastAsia="zh-CN"/>
              </w:rPr>
            </w:pPr>
            <w:r w:rsidRPr="007130BE">
              <w:rPr>
                <w:rFonts w:eastAsia="SimSun"/>
                <w:bCs/>
                <w:lang w:val="en-GB" w:eastAsia="zh-CN"/>
              </w:rPr>
              <w:t xml:space="preserve">Proposal 3: </w:t>
            </w:r>
          </w:p>
          <w:p w:rsidR="006F40BF" w:rsidRPr="007130BE" w:rsidRDefault="006F40BF" w:rsidP="00D65082">
            <w:pPr>
              <w:pStyle w:val="a0"/>
              <w:numPr>
                <w:ilvl w:val="1"/>
                <w:numId w:val="29"/>
              </w:numPr>
              <w:snapToGrid w:val="0"/>
              <w:spacing w:beforeLines="50" w:before="180"/>
              <w:rPr>
                <w:rFonts w:eastAsia="SimSun"/>
                <w:bCs/>
                <w:lang w:val="en-GB" w:eastAsia="zh-CN"/>
              </w:rPr>
            </w:pPr>
            <w:r w:rsidRPr="007130BE">
              <w:rPr>
                <w:rFonts w:eastAsia="SimSun"/>
                <w:bCs/>
                <w:lang w:val="en-GB" w:eastAsia="zh-CN"/>
              </w:rPr>
              <w:t xml:space="preserve">CSI-RS for mobility should be supported as the QCL source for channels/RS. </w:t>
            </w:r>
          </w:p>
          <w:p w:rsidR="006F40BF" w:rsidRPr="007130BE" w:rsidRDefault="006F40BF" w:rsidP="00D65082">
            <w:pPr>
              <w:pStyle w:val="a0"/>
              <w:numPr>
                <w:ilvl w:val="1"/>
                <w:numId w:val="29"/>
              </w:numPr>
              <w:snapToGrid w:val="0"/>
              <w:spacing w:beforeLines="50" w:before="180"/>
              <w:rPr>
                <w:rFonts w:eastAsia="SimSun"/>
                <w:bCs/>
                <w:lang w:val="en-GB" w:eastAsia="zh-CN"/>
              </w:rPr>
            </w:pPr>
            <w:r w:rsidRPr="007130BE">
              <w:rPr>
                <w:rFonts w:eastAsia="SimSun"/>
                <w:bCs/>
                <w:lang w:val="en-GB" w:eastAsia="zh-CN"/>
              </w:rPr>
              <w:t>CSI-RS for CSI, beam management and tracking should all be allowed to be associated with non-</w:t>
            </w:r>
            <w:r w:rsidRPr="007130BE">
              <w:rPr>
                <w:rFonts w:eastAsia="SimSun"/>
                <w:bCs/>
                <w:lang w:val="en-GB" w:eastAsia="zh-CN"/>
              </w:rPr>
              <w:lastRenderedPageBreak/>
              <w:t>serving cell RS for L1 inter-cell measurement.</w:t>
            </w:r>
          </w:p>
          <w:p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6F40BF" w:rsidRPr="007130BE" w:rsidRDefault="006F40BF" w:rsidP="00D65082">
            <w:pPr>
              <w:pStyle w:val="a0"/>
              <w:snapToGrid w:val="0"/>
              <w:spacing w:beforeLines="50" w:before="18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rsidR="006F40BF" w:rsidRPr="007130BE" w:rsidRDefault="006F40BF" w:rsidP="00D65082">
            <w:pPr>
              <w:pStyle w:val="a0"/>
              <w:snapToGrid w:val="0"/>
              <w:spacing w:beforeLines="50" w:before="180"/>
              <w:rPr>
                <w:rFonts w:eastAsia="SimSun"/>
                <w:lang w:val="en-GB" w:eastAsia="zh-CN"/>
              </w:rPr>
            </w:pPr>
            <w:r w:rsidRPr="007130BE">
              <w:rPr>
                <w:rFonts w:eastAsia="SimSun"/>
                <w:bCs/>
                <w:lang w:val="en-GB" w:eastAsia="zh-CN"/>
              </w:rPr>
              <w:t xml:space="preserve">Proposal 6: Spatial relation and power control related configurations should be enhanced for SRS, PUCCH, </w:t>
            </w:r>
            <w:proofErr w:type="gramStart"/>
            <w:r w:rsidRPr="007130BE">
              <w:rPr>
                <w:rFonts w:eastAsia="SimSun"/>
                <w:bCs/>
                <w:lang w:val="en-GB" w:eastAsia="zh-CN"/>
              </w:rPr>
              <w:t>PUSCH</w:t>
            </w:r>
            <w:proofErr w:type="gramEnd"/>
            <w:r w:rsidRPr="007130BE">
              <w:rPr>
                <w:rFonts w:eastAsia="SimSun"/>
                <w:bCs/>
                <w:lang w:val="en-GB" w:eastAsia="zh-CN"/>
              </w:rPr>
              <w:t xml:space="preserve"> transmission towards target cell.</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7D1C02" w:rsidRPr="007130BE" w:rsidRDefault="007D1C02" w:rsidP="007D1C02">
            <w:pPr>
              <w:pStyle w:val="a0"/>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rsidR="007D1C02" w:rsidRPr="007130BE" w:rsidRDefault="007D1C02" w:rsidP="007D1C02">
            <w:pPr>
              <w:pStyle w:val="a0"/>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rsidR="007D1C02" w:rsidRPr="007130BE" w:rsidRDefault="007D1C02" w:rsidP="007D1C02">
            <w:pPr>
              <w:pStyle w:val="a0"/>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153F1" w:rsidRPr="007130BE" w:rsidRDefault="006153F1" w:rsidP="00D65082">
            <w:pPr>
              <w:snapToGrid w:val="0"/>
              <w:spacing w:beforeLines="50" w:before="180" w:afterLines="50" w:after="18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rsidR="006153F1" w:rsidRPr="007130BE" w:rsidRDefault="006153F1" w:rsidP="00D65082">
            <w:pPr>
              <w:snapToGrid w:val="0"/>
              <w:spacing w:beforeLines="50" w:before="180"/>
              <w:rPr>
                <w:iCs/>
                <w:lang w:val="en-GB"/>
              </w:rPr>
            </w:pPr>
            <w:r w:rsidRPr="007130BE">
              <w:rPr>
                <w:b/>
                <w:bCs/>
                <w:iCs/>
                <w:lang w:val="en-GB"/>
              </w:rPr>
              <w:t>Proposal 2:</w:t>
            </w:r>
            <w:r w:rsidRPr="007130BE">
              <w:rPr>
                <w:iCs/>
                <w:lang w:val="en-GB"/>
              </w:rPr>
              <w:t xml:space="preserve"> Support to introduce a new RRC IE linking with some TCI states. </w:t>
            </w:r>
          </w:p>
          <w:p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rsidR="006153F1" w:rsidRPr="007130BE" w:rsidRDefault="006153F1" w:rsidP="00D65082">
            <w:pPr>
              <w:snapToGrid w:val="0"/>
              <w:spacing w:beforeLines="50" w:before="18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rsidR="006153F1" w:rsidRPr="007130BE" w:rsidRDefault="006153F1" w:rsidP="00D65082">
            <w:pPr>
              <w:pStyle w:val="af"/>
              <w:widowControl/>
              <w:numPr>
                <w:ilvl w:val="0"/>
                <w:numId w:val="14"/>
              </w:numPr>
              <w:snapToGrid w:val="0"/>
              <w:spacing w:afterLines="50" w:after="18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rsidR="006153F1" w:rsidRPr="007130BE" w:rsidRDefault="006153F1" w:rsidP="00D65082">
            <w:pPr>
              <w:snapToGrid w:val="0"/>
              <w:spacing w:beforeLines="50" w:before="180" w:afterLines="50" w:after="18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rsidR="006153F1" w:rsidRPr="007130BE" w:rsidRDefault="006153F1" w:rsidP="00D65082">
            <w:pPr>
              <w:snapToGrid w:val="0"/>
              <w:spacing w:beforeLines="50" w:before="180" w:afterLines="50" w:after="18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rsidR="006153F1" w:rsidRPr="007130BE" w:rsidRDefault="006153F1" w:rsidP="00D65082">
            <w:pPr>
              <w:pStyle w:val="a0"/>
              <w:snapToGrid w:val="0"/>
              <w:spacing w:beforeLines="50" w:before="180" w:afterLines="50" w:after="18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rsidR="006153F1" w:rsidRPr="007130BE" w:rsidRDefault="006153F1" w:rsidP="00D65082">
            <w:pPr>
              <w:pStyle w:val="a0"/>
              <w:snapToGrid w:val="0"/>
              <w:spacing w:beforeLines="50" w:before="180" w:afterLines="50" w:after="18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xml:space="preserve">: For inter-cell multi-TRP enhancement, replace the term “non-serving cell” with </w:t>
            </w:r>
            <w:r w:rsidRPr="007130BE">
              <w:rPr>
                <w:rFonts w:ascii="Times New Roman" w:hAnsi="Times New Roman"/>
                <w:lang w:val="en-GB"/>
              </w:rPr>
              <w:lastRenderedPageBreak/>
              <w:t>“cooperating cell” or the like.</w:t>
            </w:r>
          </w:p>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rsidR="004F6771" w:rsidRPr="007130BE" w:rsidRDefault="004F6771" w:rsidP="004F6771">
            <w:pPr>
              <w:rPr>
                <w:bCs/>
                <w:iCs/>
                <w:lang w:val="en-GB" w:eastAsia="zh-CN"/>
              </w:rPr>
            </w:pPr>
            <w:r w:rsidRPr="007130BE">
              <w:rPr>
                <w:bCs/>
                <w:iCs/>
                <w:lang w:val="en-GB" w:eastAsia="zh-CN"/>
              </w:rPr>
              <w:t>Proposal 4: Option 3 should be supported.</w:t>
            </w:r>
          </w:p>
          <w:p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A754A9" w:rsidRPr="007130BE" w:rsidRDefault="00A754A9" w:rsidP="00D65082">
            <w:pPr>
              <w:widowControl w:val="0"/>
              <w:snapToGrid w:val="0"/>
              <w:spacing w:beforeLines="50" w:before="18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rsidR="00A754A9" w:rsidRPr="007130BE" w:rsidRDefault="00A754A9" w:rsidP="00D65082">
            <w:pPr>
              <w:widowControl w:val="0"/>
              <w:snapToGrid w:val="0"/>
              <w:spacing w:beforeLines="50" w:before="18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rsidR="00E64828" w:rsidRPr="007130BE" w:rsidRDefault="00E64828" w:rsidP="00E64828">
            <w:pPr>
              <w:rPr>
                <w:lang w:val="en-GB" w:eastAsia="zh-CN"/>
              </w:rPr>
            </w:pPr>
            <w:r w:rsidRPr="007130BE">
              <w:rPr>
                <w:lang w:val="en-GB" w:eastAsia="zh-CN"/>
              </w:rPr>
              <w:t>Proposal 2: Not support CSI-RS from non-serving cell as non-serving cell RS.</w:t>
            </w:r>
          </w:p>
          <w:p w:rsidR="00E64828" w:rsidRPr="007130BE" w:rsidRDefault="00E64828" w:rsidP="00E64828">
            <w:pPr>
              <w:rPr>
                <w:lang w:val="en-GB" w:eastAsia="zh-CN"/>
              </w:rPr>
            </w:pPr>
            <w:r w:rsidRPr="007130BE">
              <w:rPr>
                <w:lang w:val="en-GB" w:eastAsia="zh-CN"/>
              </w:rPr>
              <w:t>Proposal 3: Group based beam reporting is slightly preferred for inter-cell beam pairing.</w:t>
            </w:r>
          </w:p>
          <w:p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 xml:space="preserve">DCI </w:t>
            </w:r>
            <w:proofErr w:type="spellStart"/>
            <w:r w:rsidRPr="007130BE">
              <w:rPr>
                <w:bCs/>
                <w:iCs/>
                <w:lang w:val="en-GB"/>
              </w:rPr>
              <w:t>codepoint</w:t>
            </w:r>
            <w:proofErr w:type="spellEnd"/>
            <w:r w:rsidRPr="007130BE">
              <w:rPr>
                <w:bCs/>
                <w:iCs/>
                <w:lang w:val="en-GB"/>
              </w:rPr>
              <w:t xml:space="preserve"> for TCI-State switching</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316D0" w:rsidRPr="007130BE" w:rsidRDefault="009316D0" w:rsidP="009316D0">
            <w:pPr>
              <w:rPr>
                <w:iCs/>
                <w:sz w:val="22"/>
                <w:szCs w:val="18"/>
                <w:lang w:val="en-GB" w:eastAsia="ko-KR"/>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1</w:t>
            </w:r>
            <w:r w:rsidR="006E2DB0" w:rsidRPr="007130BE">
              <w:rPr>
                <w:rFonts w:eastAsia="바탕"/>
                <w:sz w:val="22"/>
                <w:szCs w:val="28"/>
                <w:u w:val="single"/>
                <w:lang w:val="en-GB"/>
              </w:rPr>
              <w:fldChar w:fldCharType="end"/>
            </w:r>
            <w:r w:rsidRPr="007130BE">
              <w:rPr>
                <w:iCs/>
                <w:sz w:val="22"/>
                <w:szCs w:val="18"/>
                <w:lang w:val="en-GB" w:eastAsia="ko-KR"/>
              </w:rPr>
              <w:t xml:space="preserve">: For non-serving cell SSB information </w:t>
            </w:r>
          </w:p>
          <w:p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rsidR="009316D0" w:rsidRPr="007130BE" w:rsidRDefault="009316D0" w:rsidP="009316D0">
            <w:pPr>
              <w:rPr>
                <w:iCs/>
                <w:sz w:val="22"/>
                <w:szCs w:val="22"/>
                <w:lang w:val="en-GB"/>
              </w:rPr>
            </w:pPr>
          </w:p>
          <w:p w:rsidR="009316D0" w:rsidRPr="007130BE" w:rsidRDefault="009316D0" w:rsidP="009316D0">
            <w:pPr>
              <w:rPr>
                <w:iCs/>
                <w:sz w:val="22"/>
                <w:szCs w:val="22"/>
                <w:lang w:val="en-GB"/>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2</w:t>
            </w:r>
            <w:r w:rsidR="006E2DB0" w:rsidRPr="007130BE">
              <w:rPr>
                <w:rFonts w:eastAsia="바탕"/>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rsidR="009316D0" w:rsidRPr="007130BE" w:rsidRDefault="009316D0" w:rsidP="009316D0">
            <w:pPr>
              <w:rPr>
                <w:iCs/>
                <w:sz w:val="22"/>
                <w:szCs w:val="22"/>
                <w:lang w:val="en-GB"/>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3</w:t>
            </w:r>
            <w:r w:rsidR="006E2DB0" w:rsidRPr="007130BE">
              <w:rPr>
                <w:rFonts w:eastAsia="바탕"/>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rsidR="009316D0" w:rsidRPr="007130BE" w:rsidRDefault="009316D0" w:rsidP="009316D0">
            <w:pPr>
              <w:rPr>
                <w:iCs/>
                <w:sz w:val="22"/>
                <w:szCs w:val="18"/>
                <w:lang w:val="en-GB" w:eastAsia="ko-KR"/>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4</w:t>
            </w:r>
            <w:r w:rsidR="006E2DB0" w:rsidRPr="007130BE">
              <w:rPr>
                <w:rFonts w:eastAsia="바탕"/>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rsidR="009316D0" w:rsidRPr="007130BE" w:rsidRDefault="009316D0" w:rsidP="009316D0">
            <w:pPr>
              <w:rPr>
                <w:iCs/>
                <w:sz w:val="22"/>
                <w:szCs w:val="18"/>
                <w:lang w:val="en-GB" w:eastAsia="ko-KR"/>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5</w:t>
            </w:r>
            <w:r w:rsidR="006E2DB0" w:rsidRPr="007130BE">
              <w:rPr>
                <w:rFonts w:eastAsia="바탕"/>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rsidR="009316D0" w:rsidRPr="007130BE" w:rsidRDefault="009316D0" w:rsidP="009316D0">
            <w:pPr>
              <w:rPr>
                <w:iCs/>
                <w:sz w:val="22"/>
                <w:szCs w:val="22"/>
                <w:lang w:val="en-GB"/>
              </w:rPr>
            </w:pPr>
          </w:p>
          <w:p w:rsidR="009316D0" w:rsidRPr="007130BE" w:rsidRDefault="009316D0" w:rsidP="009316D0">
            <w:pPr>
              <w:rPr>
                <w:iCs/>
                <w:sz w:val="22"/>
                <w:szCs w:val="18"/>
                <w:lang w:val="en-GB" w:eastAsia="ko-KR"/>
              </w:rPr>
            </w:pPr>
            <w:r w:rsidRPr="007130BE">
              <w:rPr>
                <w:rFonts w:eastAsia="바탕"/>
                <w:sz w:val="22"/>
                <w:szCs w:val="28"/>
                <w:u w:val="single"/>
                <w:lang w:val="en-GB"/>
              </w:rPr>
              <w:t xml:space="preserve">Proposal </w:t>
            </w:r>
            <w:r w:rsidR="006E2DB0" w:rsidRPr="007130BE">
              <w:rPr>
                <w:rFonts w:eastAsia="바탕"/>
                <w:sz w:val="22"/>
                <w:szCs w:val="28"/>
                <w:u w:val="single"/>
                <w:lang w:val="en-GB"/>
              </w:rPr>
              <w:fldChar w:fldCharType="begin"/>
            </w:r>
            <w:r w:rsidRPr="007130BE">
              <w:rPr>
                <w:rFonts w:eastAsia="바탕"/>
                <w:sz w:val="22"/>
                <w:szCs w:val="28"/>
                <w:u w:val="single"/>
                <w:lang w:val="en-GB"/>
              </w:rPr>
              <w:instrText xml:space="preserve"> seq prop </w:instrText>
            </w:r>
            <w:r w:rsidR="006E2DB0" w:rsidRPr="007130BE">
              <w:rPr>
                <w:rFonts w:eastAsia="바탕"/>
                <w:sz w:val="22"/>
                <w:szCs w:val="28"/>
                <w:u w:val="single"/>
                <w:lang w:val="en-GB"/>
              </w:rPr>
              <w:fldChar w:fldCharType="separate"/>
            </w:r>
            <w:r w:rsidRPr="007130BE">
              <w:rPr>
                <w:rFonts w:eastAsia="바탕"/>
                <w:noProof/>
                <w:sz w:val="22"/>
                <w:szCs w:val="28"/>
                <w:u w:val="single"/>
                <w:lang w:val="en-GB"/>
              </w:rPr>
              <w:t>6</w:t>
            </w:r>
            <w:r w:rsidR="006E2DB0" w:rsidRPr="007130BE">
              <w:rPr>
                <w:rFonts w:eastAsia="바탕"/>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2: UE does not expect the set of SSB symbols to </w:t>
            </w:r>
            <w:proofErr w:type="gramStart"/>
            <w:r w:rsidRPr="007130BE">
              <w:rPr>
                <w:rFonts w:ascii="Times New Roman" w:hAnsi="Times New Roman"/>
                <w:iCs/>
                <w:lang w:val="en-GB"/>
              </w:rPr>
              <w:t>indicated</w:t>
            </w:r>
            <w:proofErr w:type="gramEnd"/>
            <w:r w:rsidRPr="007130BE">
              <w:rPr>
                <w:rFonts w:ascii="Times New Roman" w:hAnsi="Times New Roman"/>
                <w:iCs/>
                <w:lang w:val="en-GB"/>
              </w:rPr>
              <w:t xml:space="preserve"> as uplink symbols either semi-statically or dynamically (by SFI) [38.213, Section 11.1 and Section 11.1.1].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CB4722" w:rsidRPr="007130BE" w:rsidRDefault="006A48CA" w:rsidP="00CB4722">
            <w:pPr>
              <w:rPr>
                <w:lang w:val="en-GB"/>
              </w:rPr>
            </w:pPr>
            <w:r>
              <w:fldChar w:fldCharType="begin"/>
            </w:r>
            <w:r>
              <w:instrText xml:space="preserve"> REF _Ref61524296 \h  \* MERGEFORMAT </w:instrText>
            </w:r>
            <w:r>
              <w:fldChar w:fldCharType="separate"/>
            </w:r>
            <w:r w:rsidR="00CB4722" w:rsidRPr="007130BE">
              <w:rPr>
                <w:lang w:val="en-GB"/>
              </w:rPr>
              <w:t xml:space="preserve">Proposal </w:t>
            </w:r>
            <w:r w:rsidR="00CB4722" w:rsidRPr="007130BE">
              <w:rPr>
                <w:noProof/>
                <w:lang w:val="en-GB"/>
              </w:rPr>
              <w:t>1</w:t>
            </w:r>
            <w:r w:rsidR="00CB4722" w:rsidRPr="007130BE">
              <w:rPr>
                <w:lang w:val="en-GB"/>
              </w:rPr>
              <w:t xml:space="preserve">: To configure SSB as non-serving cell RS, indicate the associated cell (PCI) and SSB-index for the SSB in the </w:t>
            </w:r>
            <w:proofErr w:type="spellStart"/>
            <w:r w:rsidR="00CB4722" w:rsidRPr="007130BE">
              <w:rPr>
                <w:rFonts w:eastAsia="Calibri"/>
                <w:i/>
                <w:iCs/>
                <w:lang w:val="en-GB"/>
              </w:rPr>
              <w:t>referenceSignal</w:t>
            </w:r>
            <w:proofErr w:type="spellEnd"/>
            <w:r w:rsidR="00CB4722" w:rsidRPr="007130BE">
              <w:rPr>
                <w:lang w:val="en-GB"/>
              </w:rPr>
              <w:t xml:space="preserve"> parameter (Option 1).</w:t>
            </w:r>
            <w:r>
              <w:fldChar w:fldCharType="end"/>
            </w:r>
          </w:p>
          <w:p w:rsidR="00CB4722" w:rsidRPr="007130BE" w:rsidRDefault="006A48CA" w:rsidP="00CB4722">
            <w:pPr>
              <w:rPr>
                <w:lang w:val="en-GB"/>
              </w:rPr>
            </w:pPr>
            <w:r>
              <w:fldChar w:fldCharType="begin"/>
            </w:r>
            <w:r>
              <w:instrText xml:space="preserve"> REF _Ref61524298 \h  \* MERGEFORMAT </w:instrText>
            </w:r>
            <w:r>
              <w:fldChar w:fldCharType="separate"/>
            </w:r>
            <w:r w:rsidR="00CB4722" w:rsidRPr="007130BE">
              <w:rPr>
                <w:lang w:val="en-GB"/>
              </w:rPr>
              <w:t xml:space="preserve">Proposal </w:t>
            </w:r>
            <w:r w:rsidR="00CB4722" w:rsidRPr="007130BE">
              <w:rPr>
                <w:noProof/>
                <w:lang w:val="en-GB"/>
              </w:rPr>
              <w:t>2</w:t>
            </w:r>
            <w:r w:rsidR="00CB4722" w:rsidRPr="007130BE">
              <w:rPr>
                <w:lang w:val="en-GB"/>
              </w:rPr>
              <w:t>: To configure NZP-CSI-RS resource as non-serving cell RS, configure the RS with a QCL source RS that is associated with a non-serving cell.</w:t>
            </w:r>
            <w:r>
              <w:fldChar w:fldCharType="end"/>
            </w:r>
          </w:p>
          <w:p w:rsidR="00CB4722" w:rsidRPr="007130BE" w:rsidRDefault="006A48CA" w:rsidP="00CB4722">
            <w:pPr>
              <w:rPr>
                <w:lang w:val="en-GB"/>
              </w:rPr>
            </w:pPr>
            <w:r>
              <w:fldChar w:fldCharType="begin"/>
            </w:r>
            <w:r>
              <w:instrText xml:space="preserve"> REF _Ref68599873 \h  \* MERGEFORMAT </w:instrText>
            </w:r>
            <w:r>
              <w:fldChar w:fldCharType="separate"/>
            </w:r>
            <w:r w:rsidR="00CB4722" w:rsidRPr="007130BE">
              <w:rPr>
                <w:lang w:val="en-GB"/>
              </w:rPr>
              <w:t xml:space="preserve">Proposal </w:t>
            </w:r>
            <w:r w:rsidR="00CB4722" w:rsidRPr="007130BE">
              <w:rPr>
                <w:noProof/>
                <w:lang w:val="en-GB"/>
              </w:rPr>
              <w:t>3</w:t>
            </w:r>
            <w:r w:rsidR="00CB4722" w:rsidRPr="007130BE">
              <w:rPr>
                <w:lang w:val="en-GB"/>
              </w:rPr>
              <w:t xml:space="preserve">: For L1 SSB based beam measurements and reporting, enhance the </w:t>
            </w:r>
            <w:r w:rsidR="00CB4722" w:rsidRPr="007130BE">
              <w:rPr>
                <w:i/>
                <w:iCs/>
                <w:lang w:val="en-GB"/>
              </w:rPr>
              <w:t>CSI-SSB-</w:t>
            </w:r>
            <w:proofErr w:type="spellStart"/>
            <w:r w:rsidR="00CB4722" w:rsidRPr="007130BE">
              <w:rPr>
                <w:i/>
                <w:iCs/>
                <w:lang w:val="en-GB"/>
              </w:rPr>
              <w:t>ResourceSet</w:t>
            </w:r>
            <w:proofErr w:type="spellEnd"/>
            <w:r w:rsidR="00CB4722" w:rsidRPr="007130BE">
              <w:rPr>
                <w:i/>
                <w:iCs/>
                <w:lang w:val="en-GB"/>
              </w:rPr>
              <w:t xml:space="preserve"> IE</w:t>
            </w:r>
            <w:r w:rsidR="00CB4722" w:rsidRPr="007130BE">
              <w:rPr>
                <w:lang w:val="en-GB"/>
              </w:rPr>
              <w:t xml:space="preserve"> to associate set of SSBs with a cell-specific identifier (PCI).</w:t>
            </w:r>
            <w:r>
              <w:fldChar w:fldCharType="end"/>
            </w:r>
          </w:p>
          <w:p w:rsidR="00CB4722" w:rsidRPr="007130BE" w:rsidRDefault="006A48CA" w:rsidP="00CB4722">
            <w:pPr>
              <w:rPr>
                <w:lang w:val="en-GB"/>
              </w:rPr>
            </w:pPr>
            <w:r>
              <w:fldChar w:fldCharType="begin"/>
            </w:r>
            <w:r>
              <w:instrText xml:space="preserve"> REF _Ref61524300 \h  \* MERGEFORMAT </w:instrText>
            </w:r>
            <w:r>
              <w:fldChar w:fldCharType="separate"/>
            </w:r>
            <w:r w:rsidR="00CB4722" w:rsidRPr="007130BE">
              <w:rPr>
                <w:lang w:val="en-GB"/>
              </w:rPr>
              <w:t xml:space="preserve">Proposal </w:t>
            </w:r>
            <w:proofErr w:type="gramStart"/>
            <w:r w:rsidR="00CB4722" w:rsidRPr="007130BE">
              <w:rPr>
                <w:noProof/>
                <w:lang w:val="en-GB"/>
              </w:rPr>
              <w:t>4</w:t>
            </w:r>
            <w:r w:rsidR="00CB4722" w:rsidRPr="007130BE">
              <w:rPr>
                <w:lang w:val="en-GB"/>
              </w:rPr>
              <w:t xml:space="preserve"> :</w:t>
            </w:r>
            <w:proofErr w:type="gramEnd"/>
            <w:r w:rsidR="00CB4722" w:rsidRPr="007130BE">
              <w:rPr>
                <w:lang w:val="en-GB"/>
              </w:rPr>
              <w:t xml:space="preserve"> For non-serving cell CSI-RS measurements, configure the NZP-CSI-RS with a QCL source RS that is associated with a non-serving cell identifier.</w:t>
            </w:r>
            <w:r>
              <w:fldChar w:fldCharType="end"/>
            </w:r>
          </w:p>
          <w:p w:rsidR="00DA7F20" w:rsidRPr="007130BE" w:rsidRDefault="006A48CA" w:rsidP="00CB4722">
            <w:pPr>
              <w:spacing w:after="0"/>
              <w:jc w:val="left"/>
              <w:rPr>
                <w:rFonts w:ascii="Arial" w:eastAsia="SimSun" w:hAnsi="Arial" w:cs="Arial"/>
                <w:sz w:val="16"/>
                <w:szCs w:val="16"/>
                <w:lang w:val="en-GB" w:eastAsia="zh-CN"/>
              </w:rPr>
            </w:pPr>
            <w:r>
              <w:fldChar w:fldCharType="begin"/>
            </w:r>
            <w:r>
              <w:instrText xml:space="preserve"> REF _Ref61524301 \h  \* MERGEFORMAT </w:instrText>
            </w:r>
            <w:r>
              <w:fldChar w:fldCharType="separate"/>
            </w:r>
            <w:r w:rsidR="00CB4722" w:rsidRPr="007130BE">
              <w:rPr>
                <w:lang w:val="en-GB"/>
              </w:rPr>
              <w:t xml:space="preserve">Proposal </w:t>
            </w:r>
            <w:r w:rsidR="00CB4722" w:rsidRPr="007130BE">
              <w:rPr>
                <w:noProof/>
                <w:lang w:val="en-GB"/>
              </w:rPr>
              <w:t>5</w:t>
            </w:r>
            <w:r w:rsidR="00CB4722" w:rsidRPr="007130BE">
              <w:rPr>
                <w:lang w:val="en-GB"/>
              </w:rPr>
              <w:t xml:space="preserve">: </w:t>
            </w:r>
            <w:r w:rsidR="00CB4722" w:rsidRPr="007130BE">
              <w:rPr>
                <w:iCs/>
                <w:lang w:val="en-GB"/>
              </w:rPr>
              <w:t xml:space="preserve">For inter-cell multi-DCI based multi-TRP support, the CORESETs of non-serving cell are pooled under the same </w:t>
            </w:r>
            <w:proofErr w:type="spellStart"/>
            <w:r w:rsidR="00CB4722" w:rsidRPr="007130BE">
              <w:rPr>
                <w:iCs/>
                <w:lang w:val="en-GB"/>
              </w:rPr>
              <w:t>CORESETPoolIndex</w:t>
            </w:r>
            <w:proofErr w:type="spellEnd"/>
            <w:r w:rsidR="00CB4722" w:rsidRPr="007130BE">
              <w:rPr>
                <w:iCs/>
                <w:lang w:val="en-GB"/>
              </w:rPr>
              <w:t>.</w:t>
            </w:r>
            <w:r>
              <w:fldChar w:fldCharType="end"/>
            </w: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rsidR="005C258C" w:rsidRPr="007130BE" w:rsidRDefault="005C258C" w:rsidP="005C258C">
            <w:pPr>
              <w:ind w:firstLineChars="193" w:firstLine="386"/>
              <w:rPr>
                <w:lang w:val="en-GB"/>
              </w:rPr>
            </w:pPr>
            <w:r w:rsidRPr="007130BE">
              <w:rPr>
                <w:lang w:val="en-GB"/>
              </w:rPr>
              <w:lastRenderedPageBreak/>
              <w:t>Proposal #2: Consider mobility CSI-RS for QCL type C/D source of TRS/CSI-RS as well.</w:t>
            </w:r>
          </w:p>
          <w:p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rsidR="00DA7F20" w:rsidRPr="007130BE" w:rsidRDefault="00DA7F20" w:rsidP="008E629E">
            <w:pPr>
              <w:spacing w:after="0"/>
              <w:jc w:val="left"/>
              <w:rPr>
                <w:rFonts w:ascii="Arial" w:eastAsia="SimSun" w:hAnsi="Arial" w:cs="Arial"/>
                <w:sz w:val="16"/>
                <w:szCs w:val="16"/>
                <w:lang w:val="en-GB" w:eastAsia="zh-CN"/>
              </w:rPr>
            </w:pPr>
          </w:p>
        </w:tc>
      </w:tr>
      <w:tr w:rsidR="008E629E" w:rsidRPr="007130BE"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E629E" w:rsidRPr="007130BE" w:rsidRDefault="006A48CA"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8F7F53" w:rsidRPr="007130BE" w:rsidRDefault="006A48CA"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395822" w:rsidRPr="007130BE" w:rsidRDefault="006E2DB0"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00395822" w:rsidRPr="007130BE">
              <w:rPr>
                <w:b w:val="0"/>
                <w:bCs/>
                <w:lang w:val="en-GB"/>
              </w:rPr>
              <w:instrText xml:space="preserve"> TOC \n \h \z \t "Proposal" \c </w:instrText>
            </w:r>
            <w:r w:rsidRPr="007130BE">
              <w:rPr>
                <w:b w:val="0"/>
                <w:bCs/>
                <w:lang w:val="en-GB"/>
              </w:rPr>
              <w:fldChar w:fldCharType="separate"/>
            </w:r>
            <w:hyperlink w:anchor="_Toc68618533" w:history="1">
              <w:r w:rsidR="00395822" w:rsidRPr="007130BE">
                <w:rPr>
                  <w:rStyle w:val="ae"/>
                  <w:b w:val="0"/>
                  <w:noProof/>
                  <w:lang w:val="en-GB"/>
                </w:rPr>
                <w:t>Proposal 1</w:t>
              </w:r>
              <w:r w:rsidR="00395822" w:rsidRPr="007130BE">
                <w:rPr>
                  <w:rFonts w:asciiTheme="minorHAnsi" w:hAnsiTheme="minorHAnsi"/>
                  <w:b w:val="0"/>
                  <w:noProof/>
                  <w:lang w:val="en-GB"/>
                </w:rPr>
                <w:tab/>
              </w:r>
              <w:r w:rsidR="00395822" w:rsidRPr="007130BE">
                <w:rPr>
                  <w:rStyle w:val="ae"/>
                  <w:b w:val="0"/>
                  <w:noProof/>
                  <w:lang w:val="en-GB"/>
                </w:rPr>
                <w:t>The UE can assume that non-serving-cell use the same Point A as the serving-cell when receiving from the non-serving-cell. Hence, no specification impact is foreseen.</w:t>
              </w:r>
            </w:hyperlink>
          </w:p>
          <w:p w:rsidR="00395822" w:rsidRPr="007130BE" w:rsidRDefault="006A48CA"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rsidR="00395822" w:rsidRPr="007130BE" w:rsidRDefault="006A48CA"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rsidR="00395822" w:rsidRPr="007130BE" w:rsidRDefault="006A48CA"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rsidR="00DA7F20" w:rsidRPr="007130BE" w:rsidRDefault="006E2DB0" w:rsidP="00395822">
            <w:pPr>
              <w:spacing w:after="0"/>
              <w:jc w:val="left"/>
              <w:rPr>
                <w:rFonts w:ascii="Arial" w:eastAsia="SimSun" w:hAnsi="Arial" w:cs="Arial"/>
                <w:sz w:val="16"/>
                <w:szCs w:val="16"/>
                <w:lang w:val="en-GB" w:eastAsia="zh-CN"/>
              </w:rPr>
            </w:pPr>
            <w:r w:rsidRPr="007130BE">
              <w:rPr>
                <w:bCs/>
                <w:lang w:val="en-GB"/>
              </w:rPr>
              <w:fldChar w:fldCharType="end"/>
            </w:r>
          </w:p>
        </w:tc>
      </w:tr>
    </w:tbl>
    <w:p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8CA" w:rsidRDefault="006A48CA">
      <w:r>
        <w:separator/>
      </w:r>
    </w:p>
  </w:endnote>
  <w:endnote w:type="continuationSeparator" w:id="0">
    <w:p w:rsidR="006A48CA" w:rsidRDefault="006A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8CA" w:rsidRDefault="006A48CA">
      <w:r>
        <w:separator/>
      </w:r>
    </w:p>
  </w:footnote>
  <w:footnote w:type="continuationSeparator" w:id="0">
    <w:p w:rsidR="006A48CA" w:rsidRDefault="006A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B7F" w:rsidRDefault="00BD1B7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바탕"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E48539-FD92-4A13-950A-2C689D6F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5">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rsid w:val="00B565A8"/>
    <w:rPr>
      <w:rFonts w:eastAsia="맑은 고딕" w:cs="바탕"/>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1">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D1DF-0BC7-4702-89F5-904409AD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9183</Words>
  <Characters>52348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6</cp:revision>
  <cp:lastPrinted>2011-08-03T09:36:00Z</cp:lastPrinted>
  <dcterms:created xsi:type="dcterms:W3CDTF">2021-04-12T07:30:00Z</dcterms:created>
  <dcterms:modified xsi:type="dcterms:W3CDTF">2021-04-12T07:54:00Z</dcterms:modified>
</cp:coreProperties>
</file>