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1B4BBED0" w:rsidR="00DE37B1" w:rsidRPr="000478B4" w:rsidRDefault="00D75400">
      <w:pPr>
        <w:tabs>
          <w:tab w:val="center" w:pos="4536"/>
          <w:tab w:val="right" w:pos="8280"/>
          <w:tab w:val="right" w:pos="9639"/>
        </w:tabs>
        <w:ind w:right="2"/>
        <w:rPr>
          <w:rFonts w:ascii="Arial" w:hAnsi="Arial" w:cs="Arial"/>
          <w:b/>
          <w:bCs/>
          <w:sz w:val="22"/>
        </w:rPr>
      </w:pPr>
      <w:r w:rsidRPr="000478B4">
        <w:rPr>
          <w:rFonts w:ascii="Arial" w:hAnsi="Arial" w:cs="Arial"/>
          <w:b/>
          <w:bCs/>
          <w:sz w:val="22"/>
        </w:rPr>
        <w:t>3GPP</w:t>
      </w:r>
      <w:r w:rsidR="000944EC" w:rsidRPr="000478B4">
        <w:rPr>
          <w:rFonts w:ascii="Arial" w:hAnsi="Arial" w:cs="Arial"/>
          <w:b/>
          <w:bCs/>
          <w:sz w:val="22"/>
        </w:rPr>
        <w:t xml:space="preserve"> </w:t>
      </w:r>
      <w:r w:rsidR="00875EAD" w:rsidRPr="000478B4">
        <w:rPr>
          <w:rFonts w:ascii="Arial" w:hAnsi="Arial" w:cs="Arial"/>
          <w:b/>
          <w:bCs/>
          <w:sz w:val="22"/>
        </w:rPr>
        <w:t>TSG RAN WG1 #104b-e</w:t>
      </w:r>
      <w:r w:rsidR="00875EAD" w:rsidRPr="000478B4">
        <w:rPr>
          <w:rFonts w:ascii="Arial" w:hAnsi="Arial" w:cs="Arial"/>
          <w:b/>
          <w:bCs/>
          <w:sz w:val="22"/>
        </w:rPr>
        <w:tab/>
      </w:r>
      <w:r w:rsidR="00875EAD" w:rsidRPr="000478B4">
        <w:rPr>
          <w:rFonts w:ascii="Arial" w:hAnsi="Arial" w:cs="Arial"/>
          <w:b/>
          <w:bCs/>
          <w:sz w:val="22"/>
        </w:rPr>
        <w:tab/>
      </w:r>
      <w:r w:rsidR="00875EAD" w:rsidRPr="000478B4">
        <w:rPr>
          <w:rFonts w:ascii="Arial" w:hAnsi="Arial" w:cs="Arial"/>
          <w:b/>
          <w:bCs/>
          <w:sz w:val="22"/>
        </w:rPr>
        <w:tab/>
        <w:t>R1-210</w:t>
      </w:r>
      <w:r w:rsidR="00CF0FD6" w:rsidRPr="000478B4">
        <w:rPr>
          <w:rFonts w:ascii="Arial" w:hAnsi="Arial" w:cs="Arial"/>
          <w:b/>
          <w:bCs/>
          <w:sz w:val="22"/>
        </w:rPr>
        <w:t>39</w:t>
      </w:r>
      <w:r w:rsidR="00371033" w:rsidRPr="000478B4">
        <w:rPr>
          <w:rFonts w:ascii="Arial" w:hAnsi="Arial" w:cs="Arial"/>
          <w:b/>
          <w:bCs/>
          <w:sz w:val="22"/>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0478B4"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(5)</w:t>
            </w:r>
            <w:r w:rsidRPr="000478B4">
              <w:rPr>
                <w:rFonts w:ascii="Times New Roman" w:hAnsi="Times New Roman"/>
                <w:sz w:val="18"/>
                <w:szCs w:val="18"/>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0FBA05CD" w:rsidR="00380610" w:rsidRPr="00380610" w:rsidRDefault="00E04817" w:rsidP="00380610">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00380610" w:rsidRPr="00380610">
              <w:rPr>
                <w:rFonts w:ascii="Times New Roman" w:hAnsi="Times New Roman"/>
              </w:rPr>
              <w:t xml:space="preserve">expects beam alignment between the 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and the 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A3FE1B4" w:rsidR="00380610" w:rsidRPr="00825D4A" w:rsidRDefault="00380610" w:rsidP="00825D4A">
            <w:pPr>
              <w:pStyle w:val="ListParagraph"/>
              <w:numPr>
                <w:ilvl w:val="1"/>
                <w:numId w:val="41"/>
              </w:numPr>
              <w:wordWrap/>
              <w:snapToGrid w:val="0"/>
              <w:spacing w:after="0" w:line="240" w:lineRule="auto"/>
              <w:rPr>
                <w:rFonts w:ascii="Times New Roman" w:eastAsiaTheme="minorEastAsia" w:hAnsi="Times New Roman"/>
              </w:rPr>
            </w:pPr>
            <w:r w:rsidRPr="00825D4A">
              <w:rPr>
                <w:rFonts w:ascii="Times New Roman" w:eastAsia="DengXian" w:hAnsi="Times New Roman"/>
              </w:rPr>
              <w:t>Beam al</w:t>
            </w:r>
            <w:r w:rsidR="00E04817">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sidR="00E04817">
              <w:rPr>
                <w:rFonts w:ascii="Times New Roman" w:eastAsia="DengXian" w:hAnsi="Times New Roman"/>
              </w:rPr>
              <w:t xml:space="preserve">the PL-RS and the RS in UL TCI (or, if applicable, </w:t>
            </w:r>
            <w:r w:rsidRPr="00825D4A">
              <w:rPr>
                <w:rFonts w:ascii="Times New Roman" w:eastAsia="DengXian" w:hAnsi="Times New Roman"/>
              </w:rPr>
              <w:t>joint TCI</w:t>
            </w:r>
            <w:r w:rsidR="00E04817">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p>
          <w:p w14:paraId="03D9083A" w14:textId="77777777"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40642218" w14:textId="27630AC1"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8880469" w14:textId="2BA5AFDA"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cs="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r w:rsidRPr="00380610">
              <w:rPr>
                <w:rFonts w:ascii="Times New Roman" w:hAnsi="Times New Roman"/>
                <w:strike/>
              </w:rPr>
              <w:t xml:space="preserve"> </w:t>
            </w:r>
          </w:p>
          <w:p w14:paraId="751E1AFD" w14:textId="41ED7FD5" w:rsidR="00380610" w:rsidRPr="00380610" w:rsidRDefault="00380610" w:rsidP="00380610">
            <w:pPr>
              <w:numPr>
                <w:ilvl w:val="0"/>
                <w:numId w:val="40"/>
              </w:numPr>
              <w:wordWrap/>
              <w:autoSpaceDE/>
              <w:snapToGrid w:val="0"/>
              <w:jc w:val="left"/>
              <w:rPr>
                <w:rFonts w:ascii="Times New Roman" w:eastAsia="Times New Roman" w:hAnsi="Times New Roman" w:cs="Times New Roman"/>
              </w:rPr>
            </w:pPr>
            <w:r>
              <w:rPr>
                <w:rFonts w:ascii="Times New Roman" w:eastAsia="Times New Roman" w:hAnsi="Times New Roman" w:cs="Times New Roman"/>
              </w:rPr>
              <w:t>FFS</w:t>
            </w:r>
            <w:r w:rsidRPr="00380610">
              <w:rPr>
                <w:rFonts w:ascii="Times New Roman" w:eastAsia="Times New Roman" w:hAnsi="Times New Roman" w:cs="Times New Roman"/>
              </w:rPr>
              <w:t>: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969"/>
        <w:gridCol w:w="9016"/>
      </w:tblGrid>
      <w:tr w:rsidR="000478B4" w:rsidRPr="000478B4" w14:paraId="74C918F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070DD8">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070DD8">
            <w:pPr>
              <w:snapToGrid w:val="0"/>
              <w:rPr>
                <w:rFonts w:ascii="Times New Roman" w:hAnsi="Times New Roman"/>
                <w:bCs/>
                <w:color w:val="3333FF"/>
                <w:sz w:val="18"/>
                <w:szCs w:val="18"/>
              </w:rPr>
            </w:pPr>
          </w:p>
        </w:tc>
      </w:tr>
      <w:tr w:rsidR="000478B4" w:rsidRPr="000478B4" w14:paraId="76928F9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070DD8">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 xml:space="preserve">the UE estimates path-loss based on the periodic DL-RS provided as a source RS for determining spatial TX filter in UL or (if applicable) joint TCI </w:t>
            </w:r>
            <w:r>
              <w:rPr>
                <w:rFonts w:hint="eastAsia"/>
                <w:color w:val="FF0000"/>
              </w:rPr>
              <w:lastRenderedPageBreak/>
              <w:t>state</w:t>
            </w:r>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w:t>
            </w:r>
            <w:r>
              <w:rPr>
                <w:rFonts w:ascii="Times New Roman" w:hAnsi="Times New Roman"/>
                <w:bCs/>
                <w:sz w:val="18"/>
                <w:szCs w:val="18"/>
              </w:rPr>
              <w:t>ess we can accept this proposal 1.5.</w:t>
            </w:r>
          </w:p>
        </w:tc>
      </w:tr>
    </w:tbl>
    <w:p w14:paraId="4E3CC3E3" w14:textId="77777777"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75E82FD6" w:rsidR="0044181D" w:rsidRPr="000478B4" w:rsidRDefault="0044181D" w:rsidP="0044181D">
            <w:pPr>
              <w:pStyle w:val="ListParagraph"/>
              <w:numPr>
                <w:ilvl w:val="0"/>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For </w:t>
            </w:r>
            <w:r w:rsidRPr="000478B4">
              <w:rPr>
                <w:rFonts w:ascii="Times New Roman" w:hAnsi="Times New Roman" w:cs="Times New Roman"/>
                <w:highlight w:val="cyan"/>
                <w:lang w:eastAsia="ko-KR"/>
              </w:rPr>
              <w:t>[periodic, semi-persistent, and aperiodic]</w:t>
            </w:r>
            <w:r w:rsidRPr="000478B4">
              <w:rPr>
                <w:rFonts w:ascii="Times New Roman" w:hAnsi="Times New Roman" w:cs="Times New Roman"/>
                <w:lang w:eastAsia="ko-KR"/>
              </w:rPr>
              <w:t xml:space="preserve"> reporting, in one reporting instance, depending on NW configuration, beam(s) associated with a non-serving cell can be mixed with that associated with serving-cell </w:t>
            </w:r>
          </w:p>
          <w:p w14:paraId="2113C90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 and semi-persistent</w:t>
            </w:r>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051D36BF"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 support MAC CE based dynamic activation/deactivation of a subset of higher-layer-configured measurement for non-serving cell SSBs</w:t>
            </w:r>
          </w:p>
          <w:p w14:paraId="038AD6E1" w14:textId="77777777" w:rsidR="008173FB"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sidRPr="000478B4">
              <w:rPr>
                <w:rFonts w:ascii="Times New Roman" w:eastAsia="DengXian" w:hAnsi="Times New Roman" w:cs="Times New Roman"/>
                <w:bCs/>
                <w:szCs w:val="18"/>
                <w:lang w:eastAsia="ko-KR"/>
              </w:rPr>
              <w:t>Additionally activated non-serving cell information for SSBs to be measured, or activated non-serving cell SSBs</w:t>
            </w:r>
          </w:p>
          <w:p w14:paraId="4E485E77" w14:textId="71F3C7E1" w:rsidR="00A00CDC"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semi-persistent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lastRenderedPageBreak/>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070DD8">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070DD8">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826160">
            <w:pPr>
              <w:pStyle w:val="ListParagraph"/>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826160" w:rsidRPr="000478B4" w14:paraId="2C64623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77777777" w:rsidR="00826160" w:rsidRDefault="00826160" w:rsidP="00470DB7">
            <w:pPr>
              <w:snapToGrid w:val="0"/>
              <w:rPr>
                <w:rFonts w:ascii="Times New Roman" w:hAnsi="Times New Roman"/>
                <w:sz w:val="18"/>
                <w:szCs w:val="18"/>
              </w:rPr>
            </w:pPr>
            <w:bookmarkStart w:id="2" w:name="_GoBack"/>
            <w:bookmarkEnd w:id="2"/>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0045D" w14:textId="77777777" w:rsidR="00826160" w:rsidRDefault="00826160" w:rsidP="00826160">
            <w:pPr>
              <w:snapToGrid w:val="0"/>
              <w:rPr>
                <w:rFonts w:ascii="Times New Roman" w:hAnsi="Times New Roman"/>
                <w:bCs/>
                <w:sz w:val="18"/>
                <w:szCs w:val="18"/>
              </w:rPr>
            </w:pPr>
          </w:p>
        </w:tc>
      </w:tr>
    </w:tbl>
    <w:p w14:paraId="72ECC855" w14:textId="77777777"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343A9C65" w:rsidR="008E5199" w:rsidRPr="000478B4" w:rsidRDefault="008E5199">
            <w:pPr>
              <w:snapToGrid w:val="0"/>
              <w:rPr>
                <w:rFonts w:ascii="Times New Roman" w:hAnsi="Times New Roman" w:cs="Times New Roman"/>
                <w:sz w:val="16"/>
                <w:szCs w:val="18"/>
              </w:rPr>
            </w:pPr>
          </w:p>
          <w:p w14:paraId="478E956C" w14:textId="77777777"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77777777" w:rsidR="008E5199" w:rsidRPr="000478B4" w:rsidRDefault="008E5199">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lastRenderedPageBreak/>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CEBA9B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1B2364" w:rsidRPr="000478B4">
              <w:rPr>
                <w:rFonts w:ascii="Times New Roman" w:eastAsia="Malgun Gothic" w:hAnsi="Times New Roman" w:cs="Times New Roman"/>
                <w:bCs/>
              </w:rPr>
              <w:t>s</w:t>
            </w:r>
            <w:r w:rsidRPr="000478B4">
              <w:rPr>
                <w:rFonts w:ascii="Times New Roman" w:eastAsia="Malgun Gothic" w:hAnsi="Times New Roman" w:cs="Times New Roman"/>
                <w:bCs/>
              </w:rPr>
              <w:t>upport UE to report panel-specific information as a UE capability. Select from at least the following:</w:t>
            </w:r>
          </w:p>
          <w:p w14:paraId="3DCB490E"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the total number of DL/UL panel entities </w:t>
            </w:r>
          </w:p>
          <w:p w14:paraId="3ABE76A7"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number of antenna ports/layers per panel entity</w:t>
            </w:r>
          </w:p>
          <w:p w14:paraId="37DAB2F8"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maximum number of resources per panel entity for SRS BM</w:t>
            </w:r>
          </w:p>
          <w:p w14:paraId="5C10A6D0"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maximum achievable EIRP per panel entity</w:t>
            </w:r>
          </w:p>
          <w:p w14:paraId="05DC67C9"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panel switching delay </w:t>
            </w:r>
          </w:p>
          <w:p w14:paraId="738644E9"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Note: above ‘panel entity’ is a logical entity and how to map physical panels to the logical entities is up to UE implementation</w:t>
            </w:r>
          </w:p>
          <w:p w14:paraId="010E9602" w14:textId="77777777" w:rsidR="001068D1" w:rsidRPr="000478B4" w:rsidRDefault="001068D1" w:rsidP="000478B4">
            <w:pPr>
              <w:wordWrap/>
              <w:snapToGrid w:val="0"/>
              <w:rPr>
                <w:rFonts w:ascii="Times New Roman" w:eastAsia="Malgun Gothic" w:hAnsi="Times New Roman" w:cs="Times New Roman"/>
                <w:bCs/>
              </w:rPr>
            </w:pPr>
          </w:p>
          <w:p w14:paraId="279D8BD7" w14:textId="1A5127C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 support CB 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76889AD"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9DB9A03"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s</w:t>
            </w:r>
            <w:r w:rsidRPr="000478B4">
              <w:rPr>
                <w:rFonts w:ascii="Times New Roman" w:eastAsia="Malgun Gothic" w:hAnsi="Times New Roman" w:cs="Times New Roman"/>
                <w:bCs/>
              </w:rPr>
              <w:t>upport UE to report information related to panel activation/selection status</w:t>
            </w:r>
          </w:p>
          <w:p w14:paraId="0AB69AB0" w14:textId="38B0448D"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070DD8">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070DD8">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070DD8">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070DD8">
            <w:pPr>
              <w:snapToGrid w:val="0"/>
              <w:rPr>
                <w:rFonts w:ascii="Times New Roman" w:hAnsi="Times New Roman"/>
                <w:bCs/>
                <w:sz w:val="18"/>
                <w:szCs w:val="18"/>
                <w:lang w:eastAsia="zh-CN"/>
              </w:rPr>
            </w:pPr>
          </w:p>
          <w:p w14:paraId="13CFBC30" w14:textId="3C2B13EE" w:rsid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070DD8">
            <w:pPr>
              <w:snapToGrid w:val="0"/>
              <w:rPr>
                <w:rFonts w:ascii="Times New Roman" w:hAnsi="Times New Roman"/>
                <w:bCs/>
                <w:sz w:val="18"/>
                <w:szCs w:val="18"/>
                <w:lang w:eastAsia="zh-CN"/>
              </w:rPr>
            </w:pPr>
          </w:p>
          <w:p w14:paraId="4B27F94E" w14:textId="0CB60D7E" w:rsidR="009B2F46" w:rsidRP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w:t>
            </w:r>
            <w:r w:rsidRPr="00D861AF">
              <w:rPr>
                <w:rFonts w:cs="Times"/>
                <w:lang w:eastAsia="zh-CN"/>
              </w:rPr>
              <w:lastRenderedPageBreak/>
              <w:t xml:space="preserve">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bl>
    <w:p w14:paraId="52EA556A" w14:textId="7E7B8C2E"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00DB8" w14:textId="77777777" w:rsidR="00191ACF" w:rsidRDefault="00191ACF">
      <w:pPr>
        <w:rPr>
          <w:rFonts w:hint="eastAsia"/>
        </w:rPr>
      </w:pPr>
      <w:r>
        <w:separator/>
      </w:r>
    </w:p>
  </w:endnote>
  <w:endnote w:type="continuationSeparator" w:id="0">
    <w:p w14:paraId="1E75F69D" w14:textId="77777777" w:rsidR="00191ACF" w:rsidRDefault="00191AC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 ??">
    <w:altName w:val="MS Gothic"/>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03A71" w14:textId="77777777" w:rsidR="00191ACF" w:rsidRDefault="00191ACF">
      <w:pPr>
        <w:rPr>
          <w:rFonts w:hint="eastAsia"/>
        </w:rPr>
      </w:pPr>
      <w:r>
        <w:rPr>
          <w:color w:val="000000"/>
        </w:rPr>
        <w:separator/>
      </w:r>
    </w:p>
  </w:footnote>
  <w:footnote w:type="continuationSeparator" w:id="0">
    <w:p w14:paraId="2B677A16" w14:textId="77777777" w:rsidR="00191ACF" w:rsidRDefault="00191AC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F49D6"/>
    <w:multiLevelType w:val="hybridMultilevel"/>
    <w:tmpl w:val="DA744D3A"/>
    <w:lvl w:ilvl="0" w:tplc="BB843A1E">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4"/>
  </w:num>
  <w:num w:numId="4">
    <w:abstractNumId w:val="11"/>
  </w:num>
  <w:num w:numId="5">
    <w:abstractNumId w:val="22"/>
  </w:num>
  <w:num w:numId="6">
    <w:abstractNumId w:val="10"/>
  </w:num>
  <w:num w:numId="7">
    <w:abstractNumId w:val="29"/>
  </w:num>
  <w:num w:numId="8">
    <w:abstractNumId w:val="7"/>
  </w:num>
  <w:num w:numId="9">
    <w:abstractNumId w:val="8"/>
  </w:num>
  <w:num w:numId="10">
    <w:abstractNumId w:val="31"/>
  </w:num>
  <w:num w:numId="11">
    <w:abstractNumId w:val="0"/>
  </w:num>
  <w:num w:numId="12">
    <w:abstractNumId w:val="1"/>
  </w:num>
  <w:num w:numId="13">
    <w:abstractNumId w:val="12"/>
  </w:num>
  <w:num w:numId="14">
    <w:abstractNumId w:val="15"/>
  </w:num>
  <w:num w:numId="15">
    <w:abstractNumId w:val="5"/>
  </w:num>
  <w:num w:numId="16">
    <w:abstractNumId w:val="18"/>
  </w:num>
  <w:num w:numId="17">
    <w:abstractNumId w:val="26"/>
  </w:num>
  <w:num w:numId="18">
    <w:abstractNumId w:val="16"/>
  </w:num>
  <w:num w:numId="19">
    <w:abstractNumId w:val="28"/>
  </w:num>
  <w:num w:numId="20">
    <w:abstractNumId w:val="24"/>
  </w:num>
  <w:num w:numId="21">
    <w:abstractNumId w:val="20"/>
  </w:num>
  <w:num w:numId="22">
    <w:abstractNumId w:val="16"/>
  </w:num>
  <w:num w:numId="23">
    <w:abstractNumId w:val="25"/>
  </w:num>
  <w:num w:numId="24">
    <w:abstractNumId w:val="14"/>
  </w:num>
  <w:num w:numId="25">
    <w:abstractNumId w:val="34"/>
  </w:num>
  <w:num w:numId="26">
    <w:abstractNumId w:val="9"/>
  </w:num>
  <w:num w:numId="27">
    <w:abstractNumId w:val="32"/>
  </w:num>
  <w:num w:numId="28">
    <w:abstractNumId w:val="3"/>
  </w:num>
  <w:num w:numId="29">
    <w:abstractNumId w:val="17"/>
  </w:num>
  <w:num w:numId="30">
    <w:abstractNumId w:val="30"/>
  </w:num>
  <w:num w:numId="31">
    <w:abstractNumId w:val="23"/>
  </w:num>
  <w:num w:numId="32">
    <w:abstractNumId w:val="26"/>
  </w:num>
  <w:num w:numId="33">
    <w:abstractNumId w:val="15"/>
  </w:num>
  <w:num w:numId="34">
    <w:abstractNumId w:val="19"/>
  </w:num>
  <w:num w:numId="35">
    <w:abstractNumId w:val="14"/>
  </w:num>
  <w:num w:numId="36">
    <w:abstractNumId w:val="21"/>
  </w:num>
  <w:num w:numId="37">
    <w:abstractNumId w:val="13"/>
  </w:num>
  <w:num w:numId="38">
    <w:abstractNumId w:val="26"/>
  </w:num>
  <w:num w:numId="39">
    <w:abstractNumId w:val="2"/>
  </w:num>
  <w:num w:numId="40">
    <w:abstractNumId w:val="27"/>
  </w:num>
  <w:num w:numId="41">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8D1"/>
    <w:rsid w:val="00106C00"/>
    <w:rsid w:val="00107573"/>
    <w:rsid w:val="00110301"/>
    <w:rsid w:val="00111241"/>
    <w:rsid w:val="00111447"/>
    <w:rsid w:val="001122C8"/>
    <w:rsid w:val="001128C7"/>
    <w:rsid w:val="00112E92"/>
    <w:rsid w:val="001134B1"/>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C57BC"/>
    <w:rsid w:val="002D019D"/>
    <w:rsid w:val="002D035E"/>
    <w:rsid w:val="002D1B8C"/>
    <w:rsid w:val="002D2513"/>
    <w:rsid w:val="002D462F"/>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738F"/>
    <w:rsid w:val="00337EF6"/>
    <w:rsid w:val="003400ED"/>
    <w:rsid w:val="003407F9"/>
    <w:rsid w:val="00341416"/>
    <w:rsid w:val="003428A0"/>
    <w:rsid w:val="00342D40"/>
    <w:rsid w:val="003451F8"/>
    <w:rsid w:val="00345921"/>
    <w:rsid w:val="003507A5"/>
    <w:rsid w:val="003514BC"/>
    <w:rsid w:val="00352128"/>
    <w:rsid w:val="00353073"/>
    <w:rsid w:val="003578D1"/>
    <w:rsid w:val="0035791B"/>
    <w:rsid w:val="003603F9"/>
    <w:rsid w:val="00363572"/>
    <w:rsid w:val="00365765"/>
    <w:rsid w:val="00366829"/>
    <w:rsid w:val="0036791E"/>
    <w:rsid w:val="003707D9"/>
    <w:rsid w:val="00371033"/>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1794"/>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5DA2"/>
    <w:rsid w:val="005478C8"/>
    <w:rsid w:val="00547FF7"/>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665"/>
    <w:rsid w:val="00A87765"/>
    <w:rsid w:val="00A90DAE"/>
    <w:rsid w:val="00A91094"/>
    <w:rsid w:val="00A95BD6"/>
    <w:rsid w:val="00A96DCD"/>
    <w:rsid w:val="00A97C6D"/>
    <w:rsid w:val="00AA229E"/>
    <w:rsid w:val="00AA24CE"/>
    <w:rsid w:val="00AA2F1C"/>
    <w:rsid w:val="00AA3F0E"/>
    <w:rsid w:val="00AA62B9"/>
    <w:rsid w:val="00AB057F"/>
    <w:rsid w:val="00AB076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DC4"/>
    <w:rsid w:val="00E168A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82B41-432E-4A59-A1FA-B0E6A577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2420</Words>
  <Characters>13794</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3</cp:revision>
  <dcterms:created xsi:type="dcterms:W3CDTF">2021-04-19T02:25:00Z</dcterms:created>
  <dcterms:modified xsi:type="dcterms:W3CDTF">2021-04-19T03:11:00Z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