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ListParagraph"/>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proofErr w:type="spellStart"/>
            <w:r w:rsidRPr="00825D4A">
              <w:rPr>
                <w:rFonts w:ascii="Times New Roman" w:eastAsia="DengXian" w:hAnsi="Times New Roman"/>
              </w:rPr>
              <w:t>spatialRelation</w:t>
            </w:r>
            <w:proofErr w:type="spellEnd"/>
            <w:r w:rsidRPr="00825D4A">
              <w:rPr>
                <w:rFonts w:ascii="Times New Roman" w:eastAsia="DengXian" w:hAnsi="Times New Roman"/>
              </w:rPr>
              <w:t xml:space="preserve">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77777777" w:rsidR="00470DB7" w:rsidRPr="000478B4" w:rsidRDefault="00470DB7" w:rsidP="00470DB7">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77777777" w:rsidR="00470DB7" w:rsidRPr="000478B4" w:rsidRDefault="00470DB7" w:rsidP="00470DB7">
            <w:pPr>
              <w:snapToGrid w:val="0"/>
              <w:rPr>
                <w:rFonts w:ascii="Times New Roman" w:hAnsi="Times New Roman"/>
                <w:bCs/>
                <w:sz w:val="18"/>
                <w:szCs w:val="18"/>
              </w:rPr>
            </w:pPr>
          </w:p>
        </w:tc>
      </w:tr>
    </w:tbl>
    <w:p w14:paraId="4E3CC3E3" w14:textId="77777777"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lastRenderedPageBreak/>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77777777" w:rsidR="00470DB7" w:rsidRPr="000478B4" w:rsidRDefault="00470DB7" w:rsidP="00470DB7">
            <w:pPr>
              <w:snapToGrid w:val="0"/>
              <w:rPr>
                <w:rFonts w:ascii="Times New Roman" w:hAnsi="Times New Roman"/>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E4CB" w14:textId="77777777" w:rsidR="00470DB7" w:rsidRPr="000478B4" w:rsidRDefault="00470DB7" w:rsidP="00470DB7">
            <w:pPr>
              <w:snapToGrid w:val="0"/>
              <w:rPr>
                <w:rFonts w:ascii="Times New Roman" w:hAnsi="Times New Roman"/>
                <w:bCs/>
                <w:sz w:val="18"/>
                <w:szCs w:val="18"/>
              </w:rPr>
            </w:pPr>
          </w:p>
        </w:tc>
      </w:tr>
    </w:tbl>
    <w:p w14:paraId="72ECC855" w14:textId="77777777"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Malgun Gothic" w:hAnsi="Times New Roman" w:cs="Times New Roman"/>
                <w:bCs/>
              </w:rPr>
              <w:t>s</w:t>
            </w:r>
            <w:r w:rsidRPr="000478B4">
              <w:rPr>
                <w:rFonts w:ascii="Times New Roman" w:eastAsia="Malgun Gothic"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Information related to maximum achievable EIRP per panel entity</w:t>
            </w:r>
          </w:p>
          <w:p w14:paraId="05DC67C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Information related to panel switching delay </w:t>
            </w:r>
          </w:p>
          <w:p w14:paraId="738644E9"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Malgun Gothic" w:hAnsi="Times New Roman" w:cs="Times New Roman"/>
                <w:bCs/>
              </w:rPr>
            </w:pPr>
          </w:p>
          <w:p w14:paraId="279D8BD7" w14:textId="1A5127C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76889A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9DB9A03"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Malgun Gothic" w:hAnsi="Times New Roman" w:cs="Times New Roman"/>
                <w:bCs/>
              </w:rPr>
              <w:t>upport UE to report information related to panel activation/selection status</w:t>
            </w:r>
          </w:p>
          <w:p w14:paraId="0AB69AB0" w14:textId="38B0448D"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bl>
    <w:p w14:paraId="52EA556A" w14:textId="7E7B8C2E"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C0BFC" w14:textId="77777777" w:rsidR="002E6D72" w:rsidRDefault="002E6D72">
      <w:pPr>
        <w:rPr>
          <w:rFonts w:hint="eastAsia"/>
        </w:rPr>
      </w:pPr>
      <w:r>
        <w:separator/>
      </w:r>
    </w:p>
  </w:endnote>
  <w:endnote w:type="continuationSeparator" w:id="0">
    <w:p w14:paraId="2E474E5A" w14:textId="77777777" w:rsidR="002E6D72" w:rsidRDefault="002E6D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4976B" w14:textId="77777777" w:rsidR="002E6D72" w:rsidRDefault="002E6D72">
      <w:pPr>
        <w:rPr>
          <w:rFonts w:hint="eastAsia"/>
        </w:rPr>
      </w:pPr>
      <w:r>
        <w:rPr>
          <w:color w:val="000000"/>
        </w:rPr>
        <w:separator/>
      </w:r>
    </w:p>
  </w:footnote>
  <w:footnote w:type="continuationSeparator" w:id="0">
    <w:p w14:paraId="0EFAAB24" w14:textId="77777777" w:rsidR="002E6D72" w:rsidRDefault="002E6D7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DA744D3A"/>
    <w:lvl w:ilvl="0" w:tplc="BB843A1E">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4"/>
  </w:num>
  <w:num w:numId="4">
    <w:abstractNumId w:val="11"/>
  </w:num>
  <w:num w:numId="5">
    <w:abstractNumId w:val="22"/>
  </w:num>
  <w:num w:numId="6">
    <w:abstractNumId w:val="10"/>
  </w:num>
  <w:num w:numId="7">
    <w:abstractNumId w:val="29"/>
  </w:num>
  <w:num w:numId="8">
    <w:abstractNumId w:val="7"/>
  </w:num>
  <w:num w:numId="9">
    <w:abstractNumId w:val="8"/>
  </w:num>
  <w:num w:numId="10">
    <w:abstractNumId w:val="31"/>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6"/>
  </w:num>
  <w:num w:numId="18">
    <w:abstractNumId w:val="16"/>
  </w:num>
  <w:num w:numId="19">
    <w:abstractNumId w:val="28"/>
  </w:num>
  <w:num w:numId="20">
    <w:abstractNumId w:val="24"/>
  </w:num>
  <w:num w:numId="21">
    <w:abstractNumId w:val="20"/>
  </w:num>
  <w:num w:numId="22">
    <w:abstractNumId w:val="16"/>
  </w:num>
  <w:num w:numId="23">
    <w:abstractNumId w:val="25"/>
  </w:num>
  <w:num w:numId="24">
    <w:abstractNumId w:val="14"/>
  </w:num>
  <w:num w:numId="25">
    <w:abstractNumId w:val="34"/>
  </w:num>
  <w:num w:numId="26">
    <w:abstractNumId w:val="9"/>
  </w:num>
  <w:num w:numId="27">
    <w:abstractNumId w:val="32"/>
  </w:num>
  <w:num w:numId="28">
    <w:abstractNumId w:val="3"/>
  </w:num>
  <w:num w:numId="29">
    <w:abstractNumId w:val="17"/>
  </w:num>
  <w:num w:numId="30">
    <w:abstractNumId w:val="30"/>
  </w:num>
  <w:num w:numId="31">
    <w:abstractNumId w:val="23"/>
  </w:num>
  <w:num w:numId="32">
    <w:abstractNumId w:val="26"/>
  </w:num>
  <w:num w:numId="33">
    <w:abstractNumId w:val="15"/>
  </w:num>
  <w:num w:numId="34">
    <w:abstractNumId w:val="19"/>
  </w:num>
  <w:num w:numId="35">
    <w:abstractNumId w:val="14"/>
  </w:num>
  <w:num w:numId="36">
    <w:abstractNumId w:val="21"/>
  </w:num>
  <w:num w:numId="37">
    <w:abstractNumId w:val="13"/>
  </w:num>
  <w:num w:numId="38">
    <w:abstractNumId w:val="26"/>
  </w:num>
  <w:num w:numId="39">
    <w:abstractNumId w:val="2"/>
  </w:num>
  <w:num w:numId="40">
    <w:abstractNumId w:val="27"/>
  </w:num>
  <w:num w:numId="4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8D1"/>
    <w:rsid w:val="00106C00"/>
    <w:rsid w:val="00107573"/>
    <w:rsid w:val="00110301"/>
    <w:rsid w:val="00111241"/>
    <w:rsid w:val="00111447"/>
    <w:rsid w:val="001122C8"/>
    <w:rsid w:val="001128C7"/>
    <w:rsid w:val="00112E92"/>
    <w:rsid w:val="001134B1"/>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1794"/>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8C8"/>
    <w:rsid w:val="00547FF7"/>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DC18-DF04-4865-959A-43B90567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2186</Words>
  <Characters>12461</Characters>
  <Application>Microsoft Office Word</Application>
  <DocSecurity>0</DocSecurity>
  <Lines>103</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2021-04-19T02:25:00Z</dcterms:created>
  <dcterms:modified xsi:type="dcterms:W3CDTF">2021-04-19T02:25:00Z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