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A52980"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A52980"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w:t>
            </w:r>
            <w:proofErr w:type="gramStart"/>
            <w:r w:rsidRPr="00A26919">
              <w:rPr>
                <w:sz w:val="20"/>
                <w:szCs w:val="20"/>
              </w:rPr>
              <w:t>setting</w:t>
            </w:r>
            <w:proofErr w:type="gramEnd"/>
            <w:r w:rsidRPr="00A26919">
              <w:rPr>
                <w:sz w:val="20"/>
                <w:szCs w:val="20"/>
              </w:rPr>
              <w:t xml:space="preserve">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lang w:val="en-FI"/>
        </w:rPr>
      </w:pPr>
      <w:r>
        <w:rPr>
          <w:sz w:val="20"/>
          <w:szCs w:val="20"/>
          <w:lang w:val="en-FI"/>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xml:space="preserve">, </w:t>
            </w:r>
            <w:proofErr w:type="gramStart"/>
            <w:r w:rsidRPr="00975A23">
              <w:rPr>
                <w:bCs/>
                <w:sz w:val="20"/>
                <w:szCs w:val="18"/>
                <w:lang w:eastAsia="zh-CN"/>
              </w:rPr>
              <w:t>OPPO</w:t>
            </w:r>
            <w:r w:rsidRPr="00975A23">
              <w:rPr>
                <w:sz w:val="20"/>
                <w:szCs w:val="18"/>
                <w:lang w:eastAsia="zh-CN"/>
              </w:rPr>
              <w:t xml:space="preserve"> </w:t>
            </w:r>
            <w:r>
              <w:rPr>
                <w:sz w:val="20"/>
                <w:szCs w:val="18"/>
                <w:lang w:eastAsia="zh-CN"/>
              </w:rPr>
              <w:t>,</w:t>
            </w:r>
            <w:proofErr w:type="gramEnd"/>
            <w:r>
              <w:rPr>
                <w:sz w:val="20"/>
                <w:szCs w:val="18"/>
                <w:lang w:eastAsia="zh-CN"/>
              </w:rPr>
              <w:t xml:space="preserve">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w:t>
            </w:r>
            <w:proofErr w:type="gramStart"/>
            <w:r>
              <w:rPr>
                <w:rFonts w:eastAsia="SimSun"/>
                <w:sz w:val="18"/>
                <w:szCs w:val="18"/>
                <w:lang w:eastAsia="zh-CN"/>
              </w:rPr>
              <w:t>far</w:t>
            </w:r>
            <w:proofErr w:type="gramEnd"/>
            <w:r>
              <w:rPr>
                <w:rFonts w:eastAsia="SimSun"/>
                <w:sz w:val="18"/>
                <w:szCs w:val="18"/>
                <w:lang w:eastAsia="zh-CN"/>
              </w:rPr>
              <w:t xml:space="preserve">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CN"/>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proofErr w:type="gramStart"/>
            <w:r w:rsidRPr="00542343">
              <w:rPr>
                <w:sz w:val="18"/>
                <w:szCs w:val="18"/>
                <w:lang w:val="en-US" w:eastAsia="zh-CN"/>
              </w:rPr>
              <w:t>Sim</w:t>
            </w:r>
            <w:r>
              <w:rPr>
                <w:sz w:val="18"/>
                <w:szCs w:val="18"/>
                <w:lang w:val="en-US" w:eastAsia="zh-CN"/>
              </w:rPr>
              <w:t>ilar to</w:t>
            </w:r>
            <w:proofErr w:type="gramEnd"/>
            <w:r>
              <w:rPr>
                <w:sz w:val="18"/>
                <w:szCs w:val="18"/>
                <w:lang w:val="en-US" w:eastAsia="zh-CN"/>
              </w:rPr>
              <w:t xml:space="preserve">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w:t>
            </w:r>
            <w:proofErr w:type="gramStart"/>
            <w:r w:rsidRPr="00542343">
              <w:rPr>
                <w:sz w:val="18"/>
                <w:szCs w:val="18"/>
                <w:lang w:eastAsia="zh-CN"/>
              </w:rPr>
              <w:t>merits</w:t>
            </w:r>
            <w:r w:rsidRPr="00542343">
              <w:rPr>
                <w:sz w:val="18"/>
                <w:szCs w:val="18"/>
                <w:lang w:val="en-US" w:eastAsia="zh-CN"/>
              </w:rPr>
              <w:t>, in case</w:t>
            </w:r>
            <w:proofErr w:type="gramEnd"/>
            <w:r w:rsidRPr="00542343">
              <w:rPr>
                <w:sz w:val="18"/>
                <w:szCs w:val="18"/>
                <w:lang w:val="en-US" w:eastAsia="zh-CN"/>
              </w:rPr>
              <w:t xml:space="preserv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77777777"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w:t>
            </w:r>
            <w:proofErr w:type="gramStart"/>
            <w:r>
              <w:rPr>
                <w:rFonts w:eastAsia="SimSun"/>
                <w:sz w:val="18"/>
                <w:szCs w:val="18"/>
                <w:lang w:eastAsia="zh-CN"/>
              </w:rPr>
              <w:t>But,</w:t>
            </w:r>
            <w:proofErr w:type="gramEnd"/>
            <w:r>
              <w:rPr>
                <w:rFonts w:eastAsia="SimSun"/>
                <w:sz w:val="18"/>
                <w:szCs w:val="18"/>
                <w:lang w:eastAsia="zh-CN"/>
              </w:rPr>
              <w:t xml:space="preserve">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 xml:space="preserve">If not clear solution, we suggest </w:t>
            </w:r>
            <w:proofErr w:type="gramStart"/>
            <w:r>
              <w:rPr>
                <w:rFonts w:eastAsia="SimSun"/>
                <w:sz w:val="18"/>
                <w:szCs w:val="18"/>
                <w:lang w:eastAsia="zh-CN"/>
              </w:rPr>
              <w:t>to remove</w:t>
            </w:r>
            <w:proofErr w:type="gramEnd"/>
            <w:r>
              <w:rPr>
                <w:rFonts w:eastAsia="SimSun"/>
                <w:sz w:val="18"/>
                <w:szCs w:val="18"/>
                <w:lang w:eastAsia="zh-CN"/>
              </w:rPr>
              <w:t xml:space="preserve"> Alt 4 and the last note, directly.</w:t>
            </w:r>
          </w:p>
          <w:p w14:paraId="7BB27284" w14:textId="77777777"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w:t>
            </w:r>
            <w:proofErr w:type="gramStart"/>
            <w:r>
              <w:rPr>
                <w:rFonts w:eastAsia="SimSun"/>
                <w:sz w:val="18"/>
                <w:szCs w:val="18"/>
                <w:lang w:eastAsia="zh-CN"/>
              </w:rPr>
              <w:t>to remove</w:t>
            </w:r>
            <w:proofErr w:type="gramEnd"/>
            <w:r>
              <w:rPr>
                <w:rFonts w:eastAsia="SimSun"/>
                <w:sz w:val="18"/>
                <w:szCs w:val="18"/>
                <w:lang w:eastAsia="zh-CN"/>
              </w:rPr>
              <w:t xml:space="preser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val="en-FI" w:eastAsia="zh-CN"/>
              </w:rPr>
            </w:pPr>
            <w:r>
              <w:rPr>
                <w:rFonts w:eastAsia="SimSun"/>
                <w:sz w:val="18"/>
                <w:szCs w:val="18"/>
                <w:lang w:val="en-FI"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w:t>
            </w:r>
            <w:proofErr w:type="gramStart"/>
            <w:r w:rsidRPr="00E9640C">
              <w:rPr>
                <w:rFonts w:eastAsia="SimSun"/>
                <w:sz w:val="18"/>
                <w:szCs w:val="18"/>
                <w:lang w:eastAsia="zh-CN"/>
              </w:rPr>
              <w:t>TCI</w:t>
            </w:r>
            <w:proofErr w:type="gramEnd"/>
            <w:r w:rsidRPr="00E9640C">
              <w:rPr>
                <w:rFonts w:eastAsia="SimSun"/>
                <w:sz w:val="18"/>
                <w:szCs w:val="18"/>
                <w:lang w:eastAsia="zh-CN"/>
              </w:rPr>
              <w:t xml:space="preserve">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lang w:val="en-FI"/>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val="en-FI" w:eastAsia="zh-CN"/>
              </w:rPr>
            </w:pP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w:t>
            </w:r>
            <w:proofErr w:type="gramStart"/>
            <w:r w:rsidRPr="00F771FA">
              <w:rPr>
                <w:sz w:val="18"/>
                <w:szCs w:val="18"/>
              </w:rPr>
              <w:t>serving-cell</w:t>
            </w:r>
            <w:proofErr w:type="gramEnd"/>
            <w:r w:rsidRPr="00F771FA">
              <w:rPr>
                <w:sz w:val="18"/>
                <w:szCs w:val="18"/>
              </w:rPr>
              <w:t xml:space="preserve">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2" w:author="Eko Onggosanusi" w:date="2021-04-14T02:28:00Z">
              <w:r>
                <w:rPr>
                  <w:sz w:val="20"/>
                </w:rPr>
                <w:t xml:space="preserve"> select from</w:t>
              </w:r>
            </w:ins>
            <w:del w:id="3" w:author="Eko Onggosanusi" w:date="2021-04-14T02:28:00Z">
              <w:r w:rsidDel="002827E6">
                <w:rPr>
                  <w:sz w:val="20"/>
                </w:rPr>
                <w:delText xml:space="preserve"> e.g.</w:delText>
              </w:r>
            </w:del>
            <w:r>
              <w:rPr>
                <w:sz w:val="20"/>
              </w:rPr>
              <w:t xml:space="preserve"> </w:t>
            </w:r>
            <w:del w:id="4" w:author="Eko Onggosanusi" w:date="2021-04-14T02:28:00Z">
              <w:r w:rsidRPr="000C6D58" w:rsidDel="00A97C6D">
                <w:rPr>
                  <w:sz w:val="20"/>
                </w:rPr>
                <w:delText>[</w:delText>
              </w:r>
            </w:del>
            <w:ins w:id="5" w:author="Eko Onggosanusi" w:date="2021-04-14T02:29:00Z">
              <w:r>
                <w:rPr>
                  <w:sz w:val="20"/>
                </w:rPr>
                <w:t>{</w:t>
              </w:r>
            </w:ins>
            <w:r w:rsidRPr="000A469E">
              <w:rPr>
                <w:sz w:val="20"/>
                <w:highlight w:val="lightGray"/>
              </w:rPr>
              <w:t>4, 8, 16</w:t>
            </w:r>
            <w:ins w:id="6" w:author="Eko Onggosanusi" w:date="2021-04-14T02:29:00Z">
              <w:r>
                <w:rPr>
                  <w:sz w:val="20"/>
                </w:rPr>
                <w:t>}</w:t>
              </w:r>
            </w:ins>
            <w:del w:id="7"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lastRenderedPageBreak/>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proofErr w:type="gramStart"/>
            <w:r w:rsidRPr="002B1163">
              <w:rPr>
                <w:sz w:val="20"/>
                <w:szCs w:val="20"/>
              </w:rPr>
              <w:t>serving-cell</w:t>
            </w:r>
            <w:proofErr w:type="gramEnd"/>
            <w:r w:rsidRPr="002B1163">
              <w:rPr>
                <w:sz w:val="20"/>
                <w:szCs w:val="20"/>
              </w:rPr>
              <w:t xml:space="preserve">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 xml:space="preserve">FFS: How to report the K beams and corresponding qualities if the Tx power among the non-serving cell and with </w:t>
            </w:r>
            <w:proofErr w:type="gramStart"/>
            <w:r w:rsidRPr="00B76099">
              <w:rPr>
                <w:rFonts w:eastAsia="DengXian"/>
                <w:bCs/>
                <w:sz w:val="20"/>
                <w:szCs w:val="18"/>
                <w:lang w:eastAsia="ko-KR"/>
              </w:rPr>
              <w:t>serving-cell</w:t>
            </w:r>
            <w:proofErr w:type="gramEnd"/>
            <w:r w:rsidRPr="00B76099">
              <w:rPr>
                <w:rFonts w:eastAsia="DengXian"/>
                <w:bCs/>
                <w:sz w:val="20"/>
                <w:szCs w:val="18"/>
                <w:lang w:eastAsia="ko-KR"/>
              </w:rPr>
              <w:t xml:space="preserve">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 xml:space="preserve">Note: The supported numbers of non-serving cells (in terms of measurement/reporting) have not yet been decided. The above description doesn’t imply only one non-serving cell </w:t>
            </w:r>
            <w:proofErr w:type="gramStart"/>
            <w:r>
              <w:rPr>
                <w:rFonts w:eastAsia="DengXian"/>
                <w:bCs/>
                <w:sz w:val="20"/>
                <w:szCs w:val="18"/>
                <w:lang w:eastAsia="ko-KR"/>
              </w:rPr>
              <w:t>is allowed to</w:t>
            </w:r>
            <w:proofErr w:type="gramEnd"/>
            <w:r>
              <w:rPr>
                <w:rFonts w:eastAsia="DengXian"/>
                <w:bCs/>
                <w:sz w:val="20"/>
                <w:szCs w:val="18"/>
                <w:lang w:eastAsia="ko-KR"/>
              </w:rPr>
              <w:t xml:space="preserve">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w:t>
            </w:r>
            <w:proofErr w:type="gramStart"/>
            <w:r w:rsidRPr="00453295">
              <w:rPr>
                <w:rFonts w:eastAsia="DengXian"/>
                <w:bCs/>
                <w:sz w:val="18"/>
                <w:szCs w:val="18"/>
                <w:lang w:eastAsia="zh-CN"/>
              </w:rPr>
              <w:t>due to the fact that</w:t>
            </w:r>
            <w:proofErr w:type="gramEnd"/>
            <w:r w:rsidRPr="00453295">
              <w:rPr>
                <w:rFonts w:eastAsia="DengXian"/>
                <w:bCs/>
                <w:sz w:val="18"/>
                <w:szCs w:val="18"/>
                <w:lang w:eastAsia="zh-CN"/>
              </w:rPr>
              <w:t xml:space="preserve">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742BB26F" w14:textId="28DB18AA"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val="en-FI" w:eastAsia="zh-CN"/>
              </w:rPr>
            </w:pPr>
            <w:r>
              <w:rPr>
                <w:sz w:val="18"/>
                <w:szCs w:val="18"/>
                <w:lang w:val="en-FI"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w:t>
            </w:r>
            <w:proofErr w:type="gramStart"/>
            <w:r>
              <w:rPr>
                <w:rFonts w:eastAsia="DengXian"/>
                <w:bCs/>
                <w:sz w:val="18"/>
                <w:szCs w:val="18"/>
                <w:lang w:eastAsia="zh-CN"/>
              </w:rPr>
              <w:t>periodic,S</w:t>
            </w:r>
            <w:proofErr w:type="gramEnd"/>
            <w:r>
              <w:rPr>
                <w:rFonts w:eastAsia="DengXian"/>
                <w:bCs/>
                <w:sz w:val="18"/>
                <w:szCs w:val="18"/>
                <w:lang w:eastAsia="zh-CN"/>
              </w:rPr>
              <w:t>-P, aperiodic)</w:t>
            </w:r>
          </w:p>
          <w:p w14:paraId="27078656" w14:textId="77777777" w:rsidR="00F02169" w:rsidRDefault="00F02169" w:rsidP="00F02169">
            <w:pPr>
              <w:snapToGrid w:val="0"/>
              <w:rPr>
                <w:rFonts w:eastAsia="DengXian"/>
                <w:bCs/>
                <w:sz w:val="18"/>
                <w:szCs w:val="18"/>
                <w:lang w:eastAsia="zh-CN"/>
              </w:rPr>
            </w:pPr>
          </w:p>
          <w:p w14:paraId="1FB76F7C" w14:textId="4B6EBA72"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w:t>
            </w:r>
            <w:r>
              <w:rPr>
                <w:rFonts w:eastAsia="DengXian"/>
                <w:bCs/>
                <w:sz w:val="18"/>
                <w:szCs w:val="18"/>
                <w:lang w:val="en-FI" w:eastAsia="zh-CN"/>
              </w:rPr>
              <w:t>e</w:t>
            </w:r>
            <w:r>
              <w:rPr>
                <w:rFonts w:eastAsia="DengXian"/>
                <w:bCs/>
                <w:sz w:val="18"/>
                <w:szCs w:val="18"/>
                <w:lang w:eastAsia="zh-CN"/>
              </w:rPr>
              <w:t>ing that UE event-based triggering of reporting is supported.</w:t>
            </w:r>
          </w:p>
        </w:tc>
      </w:tr>
    </w:tbl>
    <w:p w14:paraId="7CB31768" w14:textId="7CE31E5C"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lastRenderedPageBreak/>
              <w:t xml:space="preserve">The duration in which the above panel entity reference is </w:t>
            </w:r>
            <w:proofErr w:type="gramStart"/>
            <w:r>
              <w:rPr>
                <w:sz w:val="20"/>
              </w:rPr>
              <w:t>valid</w:t>
            </w:r>
            <w:proofErr w:type="gramEnd"/>
            <w:r>
              <w:rPr>
                <w:sz w:val="20"/>
              </w:rPr>
              <w:t xml:space="preserve">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w:t>
            </w:r>
            <w:proofErr w:type="gramStart"/>
            <w:r>
              <w:rPr>
                <w:bCs/>
                <w:sz w:val="20"/>
                <w:lang w:eastAsia="zh-CN"/>
              </w:rPr>
              <w:t>1.</w:t>
            </w:r>
            <w:proofErr w:type="gramEnd"/>
            <w:r>
              <w:rPr>
                <w:bCs/>
                <w:sz w:val="20"/>
                <w:lang w:eastAsia="zh-CN"/>
              </w:rPr>
              <w:t xml:space="preserve"> Opt1-2 is confusing to us, especially for “reporting configuration or reports” in the main-bullet. If it is configuration, does it mean UE has to fix a panel to receive corresponding RS in the reportConfig? Then it seems it is not aligned with the agreement MTK mentioned.</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1B56A03" w14:textId="439443D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0692766B" w14:textId="4A0072F0" w:rsidR="001040B7" w:rsidRDefault="001040B7" w:rsidP="001040B7">
            <w:pPr>
              <w:snapToGrid w:val="0"/>
              <w:rPr>
                <w:bCs/>
                <w:sz w:val="20"/>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val="en-FI" w:eastAsia="zh-CN"/>
              </w:rPr>
            </w:pPr>
            <w:r>
              <w:rPr>
                <w:sz w:val="18"/>
                <w:szCs w:val="18"/>
                <w:lang w:val="en-FI"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 xml:space="preserve">Proposal 4.1: it is OK, from our side we are for Opt 1-3 and it would help the discussion to see the reasons behind options 1-1 and 1-2, </w:t>
            </w:r>
            <w:proofErr w:type="gramStart"/>
            <w:r>
              <w:rPr>
                <w:bCs/>
                <w:sz w:val="20"/>
                <w:lang w:eastAsia="zh-CN"/>
              </w:rPr>
              <w:t>hence</w:t>
            </w:r>
            <w:proofErr w:type="gramEnd"/>
            <w:r>
              <w:rPr>
                <w:bCs/>
                <w:sz w:val="20"/>
                <w:lang w:eastAsia="zh-CN"/>
              </w:rPr>
              <w:t xml:space="preserv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lastRenderedPageBreak/>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lastRenderedPageBreak/>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w:t>
            </w:r>
            <w:proofErr w:type="gramStart"/>
            <w:r w:rsidRPr="005803CA">
              <w:rPr>
                <w:rFonts w:eastAsia="SimSun"/>
                <w:sz w:val="20"/>
                <w:szCs w:val="18"/>
                <w:lang w:eastAsia="zh-CN"/>
              </w:rPr>
              <w:t>to make</w:t>
            </w:r>
            <w:proofErr w:type="gramEnd"/>
            <w:r w:rsidRPr="005803CA">
              <w:rPr>
                <w:rFonts w:eastAsia="SimSun"/>
                <w:sz w:val="20"/>
                <w:szCs w:val="18"/>
                <w:lang w:eastAsia="zh-CN"/>
              </w:rPr>
              <w:t xml:space="preserve"> NW-initiated FFS while some other companies can agree to this proposal only when NW-initiated is also supported. </w:t>
            </w:r>
            <w:proofErr w:type="gramStart"/>
            <w:r w:rsidRPr="005803CA">
              <w:rPr>
                <w:rFonts w:eastAsia="SimSun"/>
                <w:sz w:val="20"/>
                <w:szCs w:val="18"/>
                <w:lang w:eastAsia="zh-CN"/>
              </w:rPr>
              <w:t>So</w:t>
            </w:r>
            <w:proofErr w:type="gramEnd"/>
            <w:r w:rsidRPr="005803CA">
              <w:rPr>
                <w:rFonts w:eastAsia="SimSun"/>
                <w:sz w:val="20"/>
                <w:szCs w:val="18"/>
                <w:lang w:eastAsia="zh-CN"/>
              </w:rPr>
              <w:t xml:space="preserve">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 xml:space="preserve">sal 5.2: Okay to this proposal. Both should be </w:t>
            </w:r>
            <w:proofErr w:type="gramStart"/>
            <w:r w:rsidR="003D00E2">
              <w:rPr>
                <w:rFonts w:eastAsia="SimSun"/>
                <w:sz w:val="18"/>
                <w:szCs w:val="18"/>
                <w:lang w:eastAsia="zh-CN"/>
              </w:rPr>
              <w:t>supported</w:t>
            </w:r>
            <w:proofErr w:type="gramEnd"/>
            <w:r w:rsidR="003D00E2">
              <w:rPr>
                <w:rFonts w:eastAsia="SimSun"/>
                <w:sz w:val="18"/>
                <w:szCs w:val="18"/>
                <w:lang w:eastAsia="zh-CN"/>
              </w:rPr>
              <w:t xml:space="preserve">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w:t>
            </w:r>
            <w:proofErr w:type="gramStart"/>
            <w:r>
              <w:rPr>
                <w:rFonts w:eastAsia="SimSun"/>
                <w:sz w:val="18"/>
                <w:szCs w:val="18"/>
                <w:lang w:eastAsia="zh-CN"/>
              </w:rPr>
              <w:t>similar to</w:t>
            </w:r>
            <w:proofErr w:type="gramEnd"/>
            <w:r>
              <w:rPr>
                <w:rFonts w:eastAsia="SimSun"/>
                <w:sz w:val="18"/>
                <w:szCs w:val="18"/>
                <w:lang w:eastAsia="zh-CN"/>
              </w:rPr>
              <w:t xml:space="preserve">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 xml:space="preserve">Proposal 5.2: Do not support. As we understand it, if opt1A/1D is agreed, the reporting will be </w:t>
            </w:r>
            <w:proofErr w:type="gramStart"/>
            <w:r>
              <w:rPr>
                <w:rFonts w:eastAsia="SimSun"/>
                <w:sz w:val="18"/>
                <w:szCs w:val="18"/>
                <w:lang w:eastAsia="zh-CN"/>
              </w:rPr>
              <w:t>event-driven</w:t>
            </w:r>
            <w:proofErr w:type="gramEnd"/>
            <w:r>
              <w:rPr>
                <w:rFonts w:eastAsia="SimSun"/>
                <w:sz w:val="18"/>
                <w:szCs w:val="18"/>
                <w:lang w:eastAsia="zh-CN"/>
              </w:rPr>
              <w:t>.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lastRenderedPageBreak/>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77777777" w:rsidR="00EF6E1F" w:rsidRDefault="00EF6E1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 xml:space="preserve">A </w:t>
            </w:r>
            <w:proofErr w:type="gramStart"/>
            <w:r w:rsidRPr="001040B7">
              <w:rPr>
                <w:sz w:val="18"/>
                <w:szCs w:val="18"/>
                <w:lang w:eastAsia="zh-CN"/>
              </w:rPr>
              <w:t>minor comments</w:t>
            </w:r>
            <w:proofErr w:type="gramEnd"/>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val="en-FI" w:eastAsia="zh-CN"/>
              </w:rPr>
            </w:pPr>
            <w:r>
              <w:rPr>
                <w:sz w:val="18"/>
                <w:szCs w:val="18"/>
                <w:lang w:val="en-FI"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val="en-FI" w:eastAsia="zh-CN"/>
              </w:rPr>
            </w:pPr>
            <w:r w:rsidRPr="0F6D6F75">
              <w:rPr>
                <w:rFonts w:eastAsia="SimSun"/>
                <w:sz w:val="18"/>
                <w:szCs w:val="18"/>
                <w:lang w:eastAsia="zh-CN"/>
              </w:rPr>
              <w:t>We are O.K. with the note.</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525F" w14:textId="77777777" w:rsidR="00C04743" w:rsidRDefault="00C04743">
      <w:r>
        <w:separator/>
      </w:r>
    </w:p>
  </w:endnote>
  <w:endnote w:type="continuationSeparator" w:id="0">
    <w:p w14:paraId="5138A202" w14:textId="77777777" w:rsidR="00C04743" w:rsidRDefault="00C0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C8BA7" w14:textId="77777777" w:rsidR="00C04743" w:rsidRDefault="00C04743">
      <w:r>
        <w:rPr>
          <w:color w:val="000000"/>
        </w:rPr>
        <w:separator/>
      </w:r>
    </w:p>
  </w:footnote>
  <w:footnote w:type="continuationSeparator" w:id="0">
    <w:p w14:paraId="3C7F9D09" w14:textId="77777777" w:rsidR="00C04743" w:rsidRDefault="00C04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10"/>
  </w:num>
  <w:num w:numId="5">
    <w:abstractNumId w:val="18"/>
  </w:num>
  <w:num w:numId="6">
    <w:abstractNumId w:val="9"/>
  </w:num>
  <w:num w:numId="7">
    <w:abstractNumId w:val="23"/>
  </w:num>
  <w:num w:numId="8">
    <w:abstractNumId w:val="6"/>
  </w:num>
  <w:num w:numId="9">
    <w:abstractNumId w:val="7"/>
  </w:num>
  <w:num w:numId="10">
    <w:abstractNumId w:val="24"/>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1"/>
  </w:num>
  <w:num w:numId="18">
    <w:abstractNumId w:val="14"/>
  </w:num>
  <w:num w:numId="19">
    <w:abstractNumId w:val="22"/>
  </w:num>
  <w:num w:numId="20">
    <w:abstractNumId w:val="19"/>
  </w:num>
  <w:num w:numId="21">
    <w:abstractNumId w:val="17"/>
  </w:num>
  <w:num w:numId="22">
    <w:abstractNumId w:val="14"/>
  </w:num>
  <w:num w:numId="23">
    <w:abstractNumId w:val="20"/>
  </w:num>
  <w:num w:numId="24">
    <w:abstractNumId w:val="12"/>
  </w:num>
  <w:num w:numId="25">
    <w:abstractNumId w:val="27"/>
  </w:num>
  <w:num w:numId="26">
    <w:abstractNumId w:val="8"/>
  </w:num>
  <w:num w:numId="27">
    <w:abstractNumId w:val="25"/>
  </w:num>
  <w:num w:numId="28">
    <w:abstractNumId w:val="2"/>
  </w:num>
  <w:num w:numId="29">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FI" w:vendorID="64" w:dllVersion="0" w:nlCheck="1" w:checkStyle="0"/>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24D9"/>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4D177-50EE-4EDA-B15D-7707EE9F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6160</Words>
  <Characters>35112</Characters>
  <Application>Microsoft Office Word</Application>
  <DocSecurity>0</DocSecurity>
  <Lines>292</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13</cp:revision>
  <dcterms:created xsi:type="dcterms:W3CDTF">2021-04-14T13:54:00Z</dcterms:created>
  <dcterms:modified xsi:type="dcterms:W3CDTF">2021-04-14T15:50:00Z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