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Heading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</w:t>
            </w: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 xml:space="preserve">) only”, “ii) only”, or “both </w:t>
            </w: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>) and ii)” from the following:</w:t>
            </w:r>
          </w:p>
          <w:p w14:paraId="0CA71D78" w14:textId="77777777" w:rsidR="0003660F" w:rsidRPr="001B7737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 xml:space="preserve">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(10)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3C0DEFF4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(7</w:t>
            </w:r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Samsung, ZTE, MTK, Sony (“</w:t>
            </w:r>
            <w:proofErr w:type="spellStart"/>
            <w:r>
              <w:rPr>
                <w:sz w:val="18"/>
                <w:szCs w:val="20"/>
              </w:rPr>
              <w:t>i</w:t>
            </w:r>
            <w:proofErr w:type="spellEnd"/>
            <w:r>
              <w:rPr>
                <w:sz w:val="18"/>
                <w:szCs w:val="20"/>
              </w:rPr>
              <w:t xml:space="preserve"> only”), Qualcomm (both </w:t>
            </w:r>
            <w:proofErr w:type="spellStart"/>
            <w:r>
              <w:rPr>
                <w:sz w:val="18"/>
                <w:szCs w:val="20"/>
              </w:rPr>
              <w:t>i</w:t>
            </w:r>
            <w:proofErr w:type="spellEnd"/>
            <w:r>
              <w:rPr>
                <w:sz w:val="18"/>
                <w:szCs w:val="20"/>
              </w:rPr>
              <w:t xml:space="preserve"> and ii)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77777777" w:rsid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A: The QCL-Type A TRS and, if any, QCL-Type D TRS, in the same/different CSI-RS resources.</w:t>
            </w:r>
          </w:p>
          <w:p w14:paraId="57DFBA67" w14:textId="03E00859" w:rsidR="00C40984" w:rsidRP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  <w:lang w:eastAsia="zh-TW"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  <w:lang w:eastAsia="zh-TW"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  <w:lang w:eastAsia="zh-TW"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ListParagraph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Q1. What’s your view on/response to </w:t>
            </w:r>
            <w:proofErr w:type="spellStart"/>
            <w:r w:rsidRPr="007E5C18">
              <w:rPr>
                <w:b/>
                <w:color w:val="3333FF"/>
                <w:sz w:val="20"/>
                <w:szCs w:val="18"/>
              </w:rPr>
              <w:t>Yushu’s</w:t>
            </w:r>
            <w:proofErr w:type="spellEnd"/>
            <w:r w:rsidRPr="007E5C18">
              <w:rPr>
                <w:b/>
                <w:color w:val="3333FF"/>
                <w:sz w:val="20"/>
                <w:szCs w:val="18"/>
              </w:rPr>
              <w:t xml:space="preserve"> argument on RLM/BFR in favor of Alt1?</w:t>
            </w:r>
          </w:p>
          <w:p w14:paraId="00D3565A" w14:textId="061CE6DF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</w:t>
            </w:r>
            <w:proofErr w:type="spellStart"/>
            <w:r w:rsidR="00FF3BC1">
              <w:rPr>
                <w:b/>
                <w:color w:val="3333FF"/>
                <w:sz w:val="20"/>
                <w:szCs w:val="18"/>
              </w:rPr>
              <w:t>OptA</w:t>
            </w:r>
            <w:proofErr w:type="spellEnd"/>
            <w:r w:rsidR="00FF3BC1">
              <w:rPr>
                <w:b/>
                <w:color w:val="3333FF"/>
                <w:sz w:val="20"/>
                <w:szCs w:val="18"/>
              </w:rPr>
              <w:t xml:space="preserve"> and </w:t>
            </w:r>
            <w:proofErr w:type="spellStart"/>
            <w:r w:rsidR="00FF3BC1">
              <w:rPr>
                <w:b/>
                <w:color w:val="3333FF"/>
                <w:sz w:val="20"/>
                <w:szCs w:val="18"/>
              </w:rPr>
              <w:t>OptB</w:t>
            </w:r>
            <w:proofErr w:type="spellEnd"/>
            <w:r w:rsidR="00FF3BC1">
              <w:rPr>
                <w:b/>
                <w:color w:val="3333FF"/>
                <w:sz w:val="20"/>
                <w:szCs w:val="18"/>
              </w:rPr>
              <w:t>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Q2:  We are ok with Alt2 but the </w:t>
            </w:r>
            <w:proofErr w:type="spellStart"/>
            <w:r>
              <w:rPr>
                <w:sz w:val="18"/>
                <w:szCs w:val="18"/>
              </w:rPr>
              <w:t>Opt.A</w:t>
            </w:r>
            <w:proofErr w:type="spellEnd"/>
            <w:r>
              <w:rPr>
                <w:sz w:val="18"/>
                <w:szCs w:val="18"/>
              </w:rPr>
              <w:t xml:space="preserve"> need to be revised as follows:</w:t>
            </w:r>
          </w:p>
          <w:p w14:paraId="76928D81" w14:textId="07107CF8" w:rsidR="007B2E6E" w:rsidRDefault="007B2E6E" w:rsidP="007B2E6E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</w:t>
            </w:r>
            <w:proofErr w:type="gramStart"/>
            <w:r>
              <w:rPr>
                <w:sz w:val="18"/>
                <w:szCs w:val="18"/>
              </w:rPr>
              <w:t>Thus</w:t>
            </w:r>
            <w:proofErr w:type="gramEnd"/>
            <w:r>
              <w:rPr>
                <w:sz w:val="18"/>
                <w:szCs w:val="18"/>
              </w:rPr>
              <w:t xml:space="preserve"> if the same CSI-RS is used for both QCL-</w:t>
            </w:r>
            <w:proofErr w:type="spellStart"/>
            <w:r>
              <w:rPr>
                <w:sz w:val="18"/>
                <w:szCs w:val="18"/>
              </w:rPr>
              <w:t>TypeA</w:t>
            </w:r>
            <w:proofErr w:type="spellEnd"/>
            <w:r>
              <w:rPr>
                <w:sz w:val="18"/>
                <w:szCs w:val="18"/>
              </w:rPr>
              <w:t xml:space="preserve">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498698C0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E774" w14:textId="0CFFB9C6" w:rsidR="004C114C" w:rsidRPr="0096531D" w:rsidRDefault="004C114C" w:rsidP="00502032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299BD831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BB7B" w14:textId="4B9EE3F4" w:rsidR="0051797D" w:rsidRPr="008027FF" w:rsidRDefault="0051797D" w:rsidP="00A43619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4E5A1B01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AC18D64" w:rsidR="00135E69" w:rsidRPr="00A00C41" w:rsidRDefault="00135E69" w:rsidP="00A00C41">
            <w:pPr>
              <w:snapToGrid w:val="0"/>
              <w:ind w:left="77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Heading3"/>
        <w:numPr>
          <w:ilvl w:val="0"/>
          <w:numId w:val="6"/>
        </w:numPr>
      </w:pPr>
      <w:r>
        <w:lastRenderedPageBreak/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, MTK, APT/FGI, Intel, </w:t>
            </w:r>
            <w:proofErr w:type="spellStart"/>
            <w:r>
              <w:rPr>
                <w:sz w:val="18"/>
                <w:szCs w:val="20"/>
              </w:rPr>
              <w:t>Convida</w:t>
            </w:r>
            <w:proofErr w:type="spellEnd"/>
            <w:r>
              <w:rPr>
                <w:sz w:val="18"/>
                <w:szCs w:val="20"/>
              </w:rPr>
              <w:t>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C6084">
              <w:rPr>
                <w:sz w:val="18"/>
                <w:szCs w:val="18"/>
              </w:rPr>
              <w:t xml:space="preserve"> </w:t>
            </w:r>
            <w:proofErr w:type="spellStart"/>
            <w:r w:rsidRPr="001C6084">
              <w:rPr>
                <w:sz w:val="18"/>
                <w:szCs w:val="18"/>
              </w:rPr>
              <w:t>Futurewei</w:t>
            </w:r>
            <w:proofErr w:type="spellEnd"/>
            <w:r w:rsidRPr="001C6084">
              <w:rPr>
                <w:sz w:val="18"/>
                <w:szCs w:val="18"/>
              </w:rPr>
              <w:t xml:space="preserve">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>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 xml:space="preserve">, MTK, </w:t>
            </w:r>
            <w:proofErr w:type="spellStart"/>
            <w:r>
              <w:rPr>
                <w:sz w:val="18"/>
                <w:szCs w:val="18"/>
              </w:rPr>
              <w:t>Futurewei</w:t>
            </w:r>
            <w:proofErr w:type="spellEnd"/>
            <w:r>
              <w:rPr>
                <w:sz w:val="18"/>
                <w:szCs w:val="18"/>
              </w:rPr>
              <w:t>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 xml:space="preserve">, Xiaomi, </w:t>
            </w:r>
            <w:proofErr w:type="spellStart"/>
            <w:r w:rsidRPr="00BB7C93">
              <w:rPr>
                <w:sz w:val="18"/>
                <w:szCs w:val="18"/>
              </w:rPr>
              <w:t>Convida</w:t>
            </w:r>
            <w:proofErr w:type="spellEnd"/>
          </w:p>
          <w:p w14:paraId="41CDDD82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 (need further discussion)</w:t>
            </w:r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 xml:space="preserve">: vivo, Samsung, Qualcomm,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, Huawei, </w:t>
            </w:r>
            <w:proofErr w:type="spellStart"/>
            <w:r>
              <w:rPr>
                <w:sz w:val="18"/>
                <w:szCs w:val="20"/>
              </w:rPr>
              <w:t>HiSi</w:t>
            </w:r>
            <w:proofErr w:type="spellEnd"/>
            <w:r>
              <w:rPr>
                <w:sz w:val="18"/>
                <w:szCs w:val="20"/>
              </w:rPr>
              <w:t>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Caption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701BD3" w:rsidRDefault="00701BD3" w:rsidP="00701BD3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lastRenderedPageBreak/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6627E215" w14:textId="7CFF6002" w:rsidR="00B3291B" w:rsidRPr="00701BD3" w:rsidRDefault="00701BD3" w:rsidP="00701BD3">
            <w:pPr>
              <w:pStyle w:val="ListParagraph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701BD3">
              <w:rPr>
                <w:b/>
                <w:color w:val="3333FF"/>
                <w:sz w:val="20"/>
                <w:szCs w:val="20"/>
              </w:rPr>
              <w:t>Q1. Regardless your views on 1.4/1.5/1.12, which interpretation do you hold?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QA: For DL, yes to CSI-RS for CSI and one set of CSI-RS set with repetition = ‘ON’, For UL: </w:t>
            </w:r>
            <w:proofErr w:type="gramStart"/>
            <w:r>
              <w:rPr>
                <w:rFonts w:eastAsia="DengXian"/>
                <w:sz w:val="18"/>
                <w:szCs w:val="18"/>
                <w:lang w:eastAsia="zh-CN"/>
              </w:rPr>
              <w:t>Yes</w:t>
            </w:r>
            <w:proofErr w:type="gramEnd"/>
            <w:r>
              <w:rPr>
                <w:rFonts w:eastAsia="DengXian"/>
                <w:sz w:val="18"/>
                <w:szCs w:val="18"/>
                <w:lang w:eastAsia="zh-CN"/>
              </w:rPr>
              <w:t xml:space="preserve">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</w:t>
            </w:r>
            <w:r w:rsidRPr="000616CD">
              <w:rPr>
                <w:sz w:val="18"/>
                <w:szCs w:val="18"/>
              </w:rPr>
              <w:t>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FFBF78E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34CD" w14:textId="1D7C2DF6" w:rsidR="00D75DFF" w:rsidRPr="0096531D" w:rsidRDefault="00D75DFF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12C15176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7E2C" w14:textId="4054DD79" w:rsidR="00D75DFF" w:rsidRPr="008027FF" w:rsidRDefault="00D75DFF" w:rsidP="00DC0A50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1D5EE1ED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D9CC" w14:textId="1405C2FC" w:rsidR="00D535AF" w:rsidRDefault="00D535AF" w:rsidP="00BE25EA">
            <w:pPr>
              <w:snapToGrid w:val="0"/>
              <w:rPr>
                <w:sz w:val="18"/>
              </w:rPr>
            </w:pPr>
          </w:p>
        </w:tc>
      </w:tr>
      <w:tr w:rsidR="00D75DFF" w14:paraId="4FDB5A14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A67A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9C84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5655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EAAC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</w:tbl>
    <w:p w14:paraId="00C34536" w14:textId="5A8DF490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D1AE" w14:textId="77777777" w:rsidR="0028042B" w:rsidRDefault="0028042B">
      <w:r>
        <w:separator/>
      </w:r>
    </w:p>
  </w:endnote>
  <w:endnote w:type="continuationSeparator" w:id="0">
    <w:p w14:paraId="533DE5F8" w14:textId="77777777" w:rsidR="0028042B" w:rsidRDefault="0028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4D71" w14:textId="77777777" w:rsidR="0028042B" w:rsidRDefault="0028042B">
      <w:r>
        <w:rPr>
          <w:color w:val="000000"/>
        </w:rPr>
        <w:separator/>
      </w:r>
    </w:p>
  </w:footnote>
  <w:footnote w:type="continuationSeparator" w:id="0">
    <w:p w14:paraId="40471760" w14:textId="77777777" w:rsidR="0028042B" w:rsidRDefault="0028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A26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23"/>
  </w:num>
  <w:num w:numId="10">
    <w:abstractNumId w:val="7"/>
  </w:num>
  <w:num w:numId="11">
    <w:abstractNumId w:val="19"/>
  </w:num>
  <w:num w:numId="12">
    <w:abstractNumId w:val="19"/>
  </w:num>
  <w:num w:numId="13">
    <w:abstractNumId w:val="15"/>
  </w:num>
  <w:num w:numId="14">
    <w:abstractNumId w:val="15"/>
  </w:num>
  <w:num w:numId="15">
    <w:abstractNumId w:val="1"/>
  </w:num>
  <w:num w:numId="16">
    <w:abstractNumId w:val="6"/>
  </w:num>
  <w:num w:numId="17">
    <w:abstractNumId w:val="22"/>
  </w:num>
  <w:num w:numId="18">
    <w:abstractNumId w:val="12"/>
  </w:num>
  <w:num w:numId="19">
    <w:abstractNumId w:val="0"/>
  </w:num>
  <w:num w:numId="20">
    <w:abstractNumId w:val="11"/>
  </w:num>
  <w:num w:numId="21">
    <w:abstractNumId w:val="21"/>
  </w:num>
  <w:num w:numId="22">
    <w:abstractNumId w:val="17"/>
  </w:num>
  <w:num w:numId="23">
    <w:abstractNumId w:val="8"/>
  </w:num>
  <w:num w:numId="24">
    <w:abstractNumId w:val="18"/>
  </w:num>
  <w:num w:numId="25">
    <w:abstractNumId w:val="14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219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DefaultParagraphFont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DefaultParagraphFont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DefaultParagraphFont"/>
    <w:link w:val="B2"/>
    <w:semiHidden/>
    <w:locked/>
    <w:rsid w:val="00403757"/>
  </w:style>
  <w:style w:type="paragraph" w:customStyle="1" w:styleId="B2">
    <w:name w:val="B2"/>
    <w:basedOn w:val="Normal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7293-1F73-4464-8F58-F0BD1EB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Li Guo</cp:lastModifiedBy>
  <cp:revision>2</cp:revision>
  <dcterms:created xsi:type="dcterms:W3CDTF">2021-05-03T01:33:00Z</dcterms:created>
  <dcterms:modified xsi:type="dcterms:W3CDTF">2021-05-03T01:33:00Z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