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ListParagraph"/>
        <w:numPr>
          <w:ilvl w:val="0"/>
          <w:numId w:val="32"/>
        </w:numPr>
        <w:rPr>
          <w:lang w:eastAsia="en-US"/>
        </w:rPr>
      </w:pPr>
      <w:r>
        <w:rPr>
          <w:lang w:eastAsia="en-US"/>
        </w:rPr>
        <w:t>Captured in IA as well. Discuss it there.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Measurement during SCell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Processing time for at least l_d=5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r>
              <w:t>MsgA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Heading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ListParagraph"/>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Heading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pPr>
              <w:rPr>
                <w:rFonts w:hint="eastAsia"/>
              </w:rPr>
            </w:pPr>
            <w:r>
              <w:rPr>
                <w:rFonts w:hint="eastAsia"/>
              </w:rPr>
              <w:t>Samsung</w:t>
            </w:r>
          </w:p>
        </w:tc>
        <w:tc>
          <w:tcPr>
            <w:tcW w:w="864" w:type="dxa"/>
          </w:tcPr>
          <w:p w14:paraId="1C0B60E3" w14:textId="65300001" w:rsidR="00E405A9" w:rsidRDefault="00494376" w:rsidP="001B57EB">
            <w:pPr>
              <w:jc w:val="center"/>
              <w:rPr>
                <w:rFonts w:hint="eastAsia"/>
              </w:rP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rPr>
                <w:rFonts w:hint="eastAsia"/>
              </w:rP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E405A9" w14:paraId="2CC4D060" w14:textId="1F05FC03" w:rsidTr="00E405A9">
        <w:tc>
          <w:tcPr>
            <w:tcW w:w="1008" w:type="dxa"/>
          </w:tcPr>
          <w:p w14:paraId="356190D0" w14:textId="77777777" w:rsidR="00E405A9" w:rsidRDefault="00E405A9" w:rsidP="004F22BF">
            <w:pPr>
              <w:rPr>
                <w:lang w:eastAsia="en-US"/>
              </w:rPr>
            </w:pPr>
          </w:p>
        </w:tc>
        <w:tc>
          <w:tcPr>
            <w:tcW w:w="864" w:type="dxa"/>
          </w:tcPr>
          <w:p w14:paraId="78B3E118" w14:textId="77777777" w:rsidR="00E405A9" w:rsidRDefault="00E405A9" w:rsidP="001B57EB">
            <w:pPr>
              <w:jc w:val="center"/>
              <w:rPr>
                <w:lang w:eastAsia="en-US"/>
              </w:rPr>
            </w:pPr>
          </w:p>
        </w:tc>
        <w:tc>
          <w:tcPr>
            <w:tcW w:w="864" w:type="dxa"/>
          </w:tcPr>
          <w:p w14:paraId="399D827F" w14:textId="7B90AFC4" w:rsidR="00E405A9" w:rsidRDefault="00E405A9" w:rsidP="001B57EB">
            <w:pPr>
              <w:jc w:val="center"/>
              <w:rPr>
                <w:lang w:eastAsia="en-US"/>
              </w:rPr>
            </w:pPr>
          </w:p>
        </w:tc>
        <w:tc>
          <w:tcPr>
            <w:tcW w:w="864" w:type="dxa"/>
          </w:tcPr>
          <w:p w14:paraId="7AFD4F08" w14:textId="1243443D" w:rsidR="00E405A9" w:rsidRDefault="00E405A9" w:rsidP="001B57EB">
            <w:pPr>
              <w:jc w:val="center"/>
              <w:rPr>
                <w:lang w:eastAsia="en-US"/>
              </w:rPr>
            </w:pPr>
          </w:p>
        </w:tc>
        <w:tc>
          <w:tcPr>
            <w:tcW w:w="864" w:type="dxa"/>
          </w:tcPr>
          <w:p w14:paraId="62CDCD15" w14:textId="77777777" w:rsidR="00E405A9" w:rsidRDefault="00E405A9" w:rsidP="001B57EB">
            <w:pPr>
              <w:jc w:val="center"/>
              <w:rPr>
                <w:lang w:eastAsia="en-US"/>
              </w:rPr>
            </w:pPr>
          </w:p>
        </w:tc>
        <w:tc>
          <w:tcPr>
            <w:tcW w:w="864" w:type="dxa"/>
          </w:tcPr>
          <w:p w14:paraId="0C417D1E" w14:textId="77777777" w:rsidR="00E405A9" w:rsidRDefault="00E405A9" w:rsidP="001B57EB">
            <w:pPr>
              <w:jc w:val="center"/>
              <w:rPr>
                <w:lang w:eastAsia="en-US"/>
              </w:rPr>
            </w:pPr>
          </w:p>
        </w:tc>
        <w:tc>
          <w:tcPr>
            <w:tcW w:w="864" w:type="dxa"/>
          </w:tcPr>
          <w:p w14:paraId="47699D3F" w14:textId="77777777" w:rsidR="00E405A9" w:rsidRDefault="00E405A9" w:rsidP="001B57EB">
            <w:pPr>
              <w:jc w:val="center"/>
              <w:rPr>
                <w:lang w:eastAsia="en-US"/>
              </w:rPr>
            </w:pPr>
          </w:p>
        </w:tc>
        <w:tc>
          <w:tcPr>
            <w:tcW w:w="864" w:type="dxa"/>
          </w:tcPr>
          <w:p w14:paraId="39C26050" w14:textId="77777777" w:rsidR="00E405A9" w:rsidRDefault="00E405A9" w:rsidP="001B57EB">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122328E" w:rsidR="0015188E" w:rsidRDefault="00921CCE" w:rsidP="0015188E">
            <w:r>
              <w:rPr>
                <w:rFonts w:hint="eastAsia"/>
              </w:rPr>
              <w:t>Samsung</w:t>
            </w:r>
          </w:p>
        </w:tc>
        <w:tc>
          <w:tcPr>
            <w:tcW w:w="864" w:type="dxa"/>
          </w:tcPr>
          <w:p w14:paraId="3734281C" w14:textId="34E4BE10" w:rsidR="0015188E" w:rsidRDefault="00921CCE" w:rsidP="00F629C3">
            <w:pPr>
              <w:rPr>
                <w:rFonts w:hint="eastAsia"/>
              </w:rPr>
            </w:pPr>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pPr>
              <w:rPr>
                <w:rFonts w:hint="eastAsia"/>
              </w:rPr>
            </w:pPr>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15188E" w14:paraId="26DFBEF5" w14:textId="77777777" w:rsidTr="0061776F">
        <w:tc>
          <w:tcPr>
            <w:tcW w:w="985" w:type="dxa"/>
          </w:tcPr>
          <w:p w14:paraId="07746950" w14:textId="77777777" w:rsidR="0015188E" w:rsidRDefault="0015188E" w:rsidP="0015188E">
            <w:pPr>
              <w:rPr>
                <w:lang w:eastAsia="en-US"/>
              </w:rPr>
            </w:pPr>
          </w:p>
        </w:tc>
        <w:tc>
          <w:tcPr>
            <w:tcW w:w="864" w:type="dxa"/>
          </w:tcPr>
          <w:p w14:paraId="17F8E80C" w14:textId="77777777" w:rsidR="0015188E" w:rsidRDefault="0015188E" w:rsidP="0015188E">
            <w:pPr>
              <w:rPr>
                <w:lang w:eastAsia="en-US"/>
              </w:rPr>
            </w:pPr>
          </w:p>
        </w:tc>
        <w:tc>
          <w:tcPr>
            <w:tcW w:w="864" w:type="dxa"/>
          </w:tcPr>
          <w:p w14:paraId="42EAE0DC" w14:textId="77777777" w:rsidR="0015188E" w:rsidRDefault="0015188E" w:rsidP="0015188E">
            <w:pPr>
              <w:rPr>
                <w:lang w:eastAsia="en-US"/>
              </w:rPr>
            </w:pPr>
          </w:p>
        </w:tc>
        <w:tc>
          <w:tcPr>
            <w:tcW w:w="864" w:type="dxa"/>
          </w:tcPr>
          <w:p w14:paraId="47C14338" w14:textId="77777777" w:rsidR="0015188E" w:rsidRDefault="0015188E" w:rsidP="0015188E">
            <w:pPr>
              <w:rPr>
                <w:lang w:eastAsia="en-US"/>
              </w:rPr>
            </w:pPr>
          </w:p>
        </w:tc>
        <w:tc>
          <w:tcPr>
            <w:tcW w:w="864" w:type="dxa"/>
          </w:tcPr>
          <w:p w14:paraId="5C3C9961" w14:textId="77777777" w:rsidR="0015188E" w:rsidRDefault="0015188E" w:rsidP="0015188E">
            <w:pPr>
              <w:rPr>
                <w:lang w:eastAsia="en-US"/>
              </w:rPr>
            </w:pPr>
          </w:p>
        </w:tc>
        <w:tc>
          <w:tcPr>
            <w:tcW w:w="864" w:type="dxa"/>
          </w:tcPr>
          <w:p w14:paraId="1BD4F682" w14:textId="77777777" w:rsidR="0015188E" w:rsidRDefault="0015188E" w:rsidP="0015188E">
            <w:pPr>
              <w:rPr>
                <w:lang w:eastAsia="en-US"/>
              </w:rPr>
            </w:pPr>
          </w:p>
        </w:tc>
        <w:tc>
          <w:tcPr>
            <w:tcW w:w="864" w:type="dxa"/>
          </w:tcPr>
          <w:p w14:paraId="54018BA7" w14:textId="77777777" w:rsidR="0015188E" w:rsidRDefault="0015188E" w:rsidP="0015188E">
            <w:pPr>
              <w:rPr>
                <w:lang w:eastAsia="en-US"/>
              </w:rPr>
            </w:pPr>
          </w:p>
        </w:tc>
      </w:tr>
      <w:tr w:rsidR="0015188E" w14:paraId="43CBE126" w14:textId="77777777" w:rsidTr="0061776F">
        <w:tc>
          <w:tcPr>
            <w:tcW w:w="985" w:type="dxa"/>
          </w:tcPr>
          <w:p w14:paraId="70AD83A9" w14:textId="77777777" w:rsidR="0015188E" w:rsidRDefault="0015188E" w:rsidP="0015188E">
            <w:pPr>
              <w:rPr>
                <w:lang w:eastAsia="en-US"/>
              </w:rPr>
            </w:pPr>
          </w:p>
        </w:tc>
        <w:tc>
          <w:tcPr>
            <w:tcW w:w="864" w:type="dxa"/>
          </w:tcPr>
          <w:p w14:paraId="4BA0CF3F" w14:textId="77777777" w:rsidR="0015188E" w:rsidRDefault="0015188E" w:rsidP="0015188E">
            <w:pPr>
              <w:rPr>
                <w:lang w:eastAsia="en-US"/>
              </w:rPr>
            </w:pPr>
          </w:p>
        </w:tc>
        <w:tc>
          <w:tcPr>
            <w:tcW w:w="864" w:type="dxa"/>
          </w:tcPr>
          <w:p w14:paraId="733B909B" w14:textId="77777777" w:rsidR="0015188E" w:rsidRDefault="0015188E" w:rsidP="0015188E">
            <w:pPr>
              <w:rPr>
                <w:lang w:eastAsia="en-US"/>
              </w:rPr>
            </w:pPr>
          </w:p>
        </w:tc>
        <w:tc>
          <w:tcPr>
            <w:tcW w:w="864" w:type="dxa"/>
          </w:tcPr>
          <w:p w14:paraId="4F2779A7" w14:textId="77777777" w:rsidR="0015188E" w:rsidRDefault="0015188E" w:rsidP="0015188E">
            <w:pPr>
              <w:rPr>
                <w:lang w:eastAsia="en-US"/>
              </w:rPr>
            </w:pPr>
          </w:p>
        </w:tc>
        <w:tc>
          <w:tcPr>
            <w:tcW w:w="864" w:type="dxa"/>
          </w:tcPr>
          <w:p w14:paraId="3872D283" w14:textId="77777777" w:rsidR="0015188E" w:rsidRDefault="0015188E" w:rsidP="0015188E">
            <w:pPr>
              <w:rPr>
                <w:lang w:eastAsia="en-US"/>
              </w:rPr>
            </w:pP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CommentReference"/>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맑은 고딕"/>
              </w:rPr>
            </w:pPr>
            <w:r>
              <w:rPr>
                <w:rFonts w:eastAsia="맑은 고딕"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363EB7DE" w:rsidR="00E405A9" w:rsidRPr="00C902A4" w:rsidRDefault="00C902A4" w:rsidP="00E23A7B">
            <w:pPr>
              <w:jc w:val="center"/>
              <w:rPr>
                <w:rFonts w:eastAsia="맑은 고딕" w:hint="eastAsia"/>
              </w:rPr>
            </w:pPr>
            <w:r>
              <w:rPr>
                <w:rFonts w:eastAsia="맑은 고딕"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맑은 고딕" w:hint="eastAsia"/>
              </w:rPr>
            </w:pPr>
            <w:r>
              <w:rPr>
                <w:rFonts w:eastAsia="맑은 고딕"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E405A9" w:rsidRPr="00A57E2B" w14:paraId="7735A6F1" w14:textId="54BD240F" w:rsidTr="00E405A9">
        <w:tc>
          <w:tcPr>
            <w:tcW w:w="1214" w:type="dxa"/>
          </w:tcPr>
          <w:p w14:paraId="1C751DF8" w14:textId="64CBD46E" w:rsidR="00E405A9" w:rsidRPr="00A57E2B" w:rsidRDefault="00E405A9" w:rsidP="008D275E">
            <w:pPr>
              <w:rPr>
                <w:rFonts w:eastAsiaTheme="minorEastAsia"/>
                <w:lang w:eastAsia="zh-CN"/>
              </w:rPr>
            </w:pPr>
          </w:p>
        </w:tc>
        <w:tc>
          <w:tcPr>
            <w:tcW w:w="1111" w:type="dxa"/>
          </w:tcPr>
          <w:p w14:paraId="540B63DF" w14:textId="052E85B3" w:rsidR="00E405A9" w:rsidRPr="00A57E2B" w:rsidRDefault="00E405A9" w:rsidP="00E23A7B">
            <w:pPr>
              <w:jc w:val="center"/>
              <w:rPr>
                <w:rFonts w:eastAsiaTheme="minorEastAsia"/>
                <w:lang w:eastAsia="zh-CN"/>
              </w:rPr>
            </w:pPr>
          </w:p>
        </w:tc>
        <w:tc>
          <w:tcPr>
            <w:tcW w:w="1044" w:type="dxa"/>
          </w:tcPr>
          <w:p w14:paraId="5403455E" w14:textId="77777777" w:rsidR="00E405A9" w:rsidRPr="00A57E2B" w:rsidRDefault="00E405A9" w:rsidP="00E23A7B">
            <w:pPr>
              <w:jc w:val="center"/>
              <w:rPr>
                <w:rFonts w:eastAsiaTheme="minorEastAsia"/>
                <w:lang w:eastAsia="zh-CN"/>
              </w:rPr>
            </w:pPr>
          </w:p>
        </w:tc>
        <w:tc>
          <w:tcPr>
            <w:tcW w:w="1044" w:type="dxa"/>
          </w:tcPr>
          <w:p w14:paraId="1C88FB72" w14:textId="77777777" w:rsidR="00E405A9" w:rsidRPr="00A57E2B" w:rsidRDefault="00E405A9" w:rsidP="00E23A7B">
            <w:pPr>
              <w:jc w:val="center"/>
              <w:rPr>
                <w:rFonts w:eastAsiaTheme="minorEastAsia"/>
                <w:lang w:eastAsia="zh-CN"/>
              </w:rPr>
            </w:pPr>
          </w:p>
        </w:tc>
        <w:tc>
          <w:tcPr>
            <w:tcW w:w="1308" w:type="dxa"/>
          </w:tcPr>
          <w:p w14:paraId="4E230527" w14:textId="77777777" w:rsidR="00E405A9" w:rsidRPr="00A57E2B" w:rsidRDefault="00E405A9" w:rsidP="00E23A7B">
            <w:pPr>
              <w:jc w:val="center"/>
              <w:rPr>
                <w:rFonts w:eastAsiaTheme="minorEastAsia"/>
                <w:lang w:eastAsia="zh-CN"/>
              </w:rPr>
            </w:pPr>
          </w:p>
        </w:tc>
        <w:tc>
          <w:tcPr>
            <w:tcW w:w="1308" w:type="dxa"/>
          </w:tcPr>
          <w:p w14:paraId="3089809C" w14:textId="77777777" w:rsidR="00E405A9" w:rsidRPr="00A57E2B" w:rsidRDefault="00E405A9" w:rsidP="00E23A7B">
            <w:pPr>
              <w:jc w:val="center"/>
              <w:rPr>
                <w:rFonts w:eastAsiaTheme="minorEastAsia"/>
                <w:lang w:eastAsia="zh-CN"/>
              </w:rPr>
            </w:pPr>
          </w:p>
        </w:tc>
        <w:tc>
          <w:tcPr>
            <w:tcW w:w="1308" w:type="dxa"/>
          </w:tcPr>
          <w:p w14:paraId="2617B98A" w14:textId="77777777" w:rsidR="00E405A9" w:rsidRPr="00A57E2B" w:rsidRDefault="00E405A9" w:rsidP="00E23A7B">
            <w:pPr>
              <w:jc w:val="center"/>
              <w:rPr>
                <w:rFonts w:eastAsiaTheme="minorEastAsia"/>
                <w:lang w:eastAsia="zh-CN"/>
              </w:rPr>
            </w:pPr>
          </w:p>
        </w:tc>
        <w:tc>
          <w:tcPr>
            <w:tcW w:w="1025" w:type="dxa"/>
          </w:tcPr>
          <w:p w14:paraId="771D2FE8" w14:textId="77777777" w:rsidR="00E405A9" w:rsidRPr="00A57E2B" w:rsidRDefault="00E405A9" w:rsidP="00E23A7B">
            <w:pPr>
              <w:jc w:val="center"/>
              <w:rPr>
                <w:rFonts w:eastAsiaTheme="minorEastAsia"/>
                <w:lang w:eastAsia="zh-CN"/>
              </w:rPr>
            </w:pPr>
          </w:p>
        </w:tc>
      </w:tr>
      <w:tr w:rsidR="00E405A9" w:rsidRPr="00A57E2B" w14:paraId="1D29CC76" w14:textId="35C3DD07" w:rsidTr="00E405A9">
        <w:tc>
          <w:tcPr>
            <w:tcW w:w="1214" w:type="dxa"/>
          </w:tcPr>
          <w:p w14:paraId="60525426" w14:textId="1CF308A5" w:rsidR="00E405A9" w:rsidRDefault="00E405A9" w:rsidP="008D275E">
            <w:pPr>
              <w:rPr>
                <w:rFonts w:eastAsiaTheme="minorEastAsia"/>
                <w:lang w:eastAsia="zh-CN"/>
              </w:rPr>
            </w:pPr>
          </w:p>
        </w:tc>
        <w:tc>
          <w:tcPr>
            <w:tcW w:w="1111" w:type="dxa"/>
          </w:tcPr>
          <w:p w14:paraId="51732586" w14:textId="77777777" w:rsidR="00E405A9" w:rsidRDefault="00E405A9" w:rsidP="008D275E">
            <w:pPr>
              <w:rPr>
                <w:rFonts w:eastAsiaTheme="minorEastAsia"/>
                <w:lang w:eastAsia="zh-CN"/>
              </w:rPr>
            </w:pPr>
          </w:p>
        </w:tc>
        <w:tc>
          <w:tcPr>
            <w:tcW w:w="1044" w:type="dxa"/>
          </w:tcPr>
          <w:p w14:paraId="497358DA" w14:textId="7AA166D6" w:rsidR="00E405A9" w:rsidRDefault="00E405A9" w:rsidP="008D275E">
            <w:pPr>
              <w:rPr>
                <w:rFonts w:eastAsiaTheme="minorEastAsia"/>
                <w:lang w:eastAsia="zh-CN"/>
              </w:rPr>
            </w:pPr>
          </w:p>
        </w:tc>
        <w:tc>
          <w:tcPr>
            <w:tcW w:w="1044" w:type="dxa"/>
          </w:tcPr>
          <w:p w14:paraId="69246E7F" w14:textId="77777777" w:rsidR="00E405A9" w:rsidRDefault="00E405A9" w:rsidP="008D275E">
            <w:pPr>
              <w:rPr>
                <w:rFonts w:eastAsiaTheme="minorEastAsia"/>
                <w:lang w:eastAsia="zh-CN"/>
              </w:rPr>
            </w:pPr>
          </w:p>
        </w:tc>
        <w:tc>
          <w:tcPr>
            <w:tcW w:w="1308" w:type="dxa"/>
          </w:tcPr>
          <w:p w14:paraId="35AFED08" w14:textId="77777777" w:rsidR="00E405A9" w:rsidRDefault="00E405A9" w:rsidP="008D275E">
            <w:pPr>
              <w:rPr>
                <w:rFonts w:eastAsiaTheme="minorEastAsia"/>
                <w:lang w:eastAsia="zh-CN"/>
              </w:rPr>
            </w:pPr>
          </w:p>
        </w:tc>
        <w:tc>
          <w:tcPr>
            <w:tcW w:w="1308" w:type="dxa"/>
          </w:tcPr>
          <w:p w14:paraId="39251F27" w14:textId="77777777" w:rsidR="00E405A9" w:rsidRDefault="00E405A9" w:rsidP="008D275E">
            <w:pPr>
              <w:rPr>
                <w:rFonts w:eastAsiaTheme="minorEastAsia"/>
                <w:lang w:eastAsia="zh-CN"/>
              </w:rPr>
            </w:pPr>
          </w:p>
        </w:tc>
        <w:tc>
          <w:tcPr>
            <w:tcW w:w="1308" w:type="dxa"/>
          </w:tcPr>
          <w:p w14:paraId="6028ED70" w14:textId="77777777" w:rsidR="00E405A9" w:rsidRDefault="00E405A9" w:rsidP="008D275E">
            <w:pPr>
              <w:rPr>
                <w:rFonts w:eastAsiaTheme="minorEastAsia"/>
                <w:lang w:eastAsia="zh-CN"/>
              </w:rPr>
            </w:pPr>
          </w:p>
        </w:tc>
        <w:tc>
          <w:tcPr>
            <w:tcW w:w="1025" w:type="dxa"/>
          </w:tcPr>
          <w:p w14:paraId="36033839" w14:textId="77777777" w:rsidR="00E405A9" w:rsidRDefault="00E405A9" w:rsidP="008D275E">
            <w:pPr>
              <w:rPr>
                <w:rFonts w:eastAsiaTheme="minorEastAsia"/>
                <w:lang w:eastAsia="zh-CN"/>
              </w:rPr>
            </w:pPr>
          </w:p>
        </w:tc>
      </w:tr>
      <w:tr w:rsidR="00E405A9" w14:paraId="7243FD4D" w14:textId="3490C504" w:rsidTr="00E405A9">
        <w:tc>
          <w:tcPr>
            <w:tcW w:w="1214" w:type="dxa"/>
          </w:tcPr>
          <w:p w14:paraId="67959E7C" w14:textId="02A27C45" w:rsidR="00E405A9" w:rsidRDefault="00E405A9" w:rsidP="008D275E"/>
        </w:tc>
        <w:tc>
          <w:tcPr>
            <w:tcW w:w="1111" w:type="dxa"/>
          </w:tcPr>
          <w:p w14:paraId="71EDF028" w14:textId="2751A7E3" w:rsidR="00E405A9" w:rsidRDefault="00E405A9" w:rsidP="008D275E"/>
        </w:tc>
        <w:tc>
          <w:tcPr>
            <w:tcW w:w="1044" w:type="dxa"/>
          </w:tcPr>
          <w:p w14:paraId="50232B10" w14:textId="329F60CF" w:rsidR="00E405A9" w:rsidRDefault="00E405A9" w:rsidP="008D275E"/>
        </w:tc>
        <w:tc>
          <w:tcPr>
            <w:tcW w:w="1044" w:type="dxa"/>
          </w:tcPr>
          <w:p w14:paraId="7037DA74" w14:textId="77777777" w:rsidR="00E405A9" w:rsidRDefault="00E405A9" w:rsidP="008D275E"/>
        </w:tc>
        <w:tc>
          <w:tcPr>
            <w:tcW w:w="1308" w:type="dxa"/>
          </w:tcPr>
          <w:p w14:paraId="29C48595" w14:textId="77777777" w:rsidR="00E405A9" w:rsidRDefault="00E405A9" w:rsidP="008D275E"/>
        </w:tc>
        <w:tc>
          <w:tcPr>
            <w:tcW w:w="1308" w:type="dxa"/>
          </w:tcPr>
          <w:p w14:paraId="73457F44" w14:textId="77777777" w:rsidR="00E405A9" w:rsidRDefault="00E405A9" w:rsidP="008D275E"/>
        </w:tc>
        <w:tc>
          <w:tcPr>
            <w:tcW w:w="1308" w:type="dxa"/>
          </w:tcPr>
          <w:p w14:paraId="4C30413F" w14:textId="77777777" w:rsidR="00E405A9" w:rsidRDefault="00E405A9" w:rsidP="008D275E"/>
        </w:tc>
        <w:tc>
          <w:tcPr>
            <w:tcW w:w="1025" w:type="dxa"/>
          </w:tcPr>
          <w:p w14:paraId="30E2E9EB" w14:textId="77777777" w:rsidR="00E405A9" w:rsidRDefault="00E405A9" w:rsidP="008D275E"/>
        </w:tc>
      </w:tr>
      <w:tr w:rsidR="00E405A9" w:rsidRPr="00A57E2B" w14:paraId="0A9A767D" w14:textId="0C34B072" w:rsidTr="00E405A9">
        <w:tc>
          <w:tcPr>
            <w:tcW w:w="1214" w:type="dxa"/>
          </w:tcPr>
          <w:p w14:paraId="355976FF" w14:textId="2E861D83" w:rsidR="00E405A9" w:rsidRDefault="00E405A9" w:rsidP="008D275E">
            <w:pPr>
              <w:rPr>
                <w:rFonts w:eastAsiaTheme="minorEastAsia"/>
                <w:lang w:eastAsia="zh-CN"/>
              </w:rPr>
            </w:pPr>
          </w:p>
        </w:tc>
        <w:tc>
          <w:tcPr>
            <w:tcW w:w="1111" w:type="dxa"/>
          </w:tcPr>
          <w:p w14:paraId="4436F093" w14:textId="77777777" w:rsidR="00E405A9" w:rsidRDefault="00E405A9" w:rsidP="008D275E">
            <w:pPr>
              <w:rPr>
                <w:rFonts w:eastAsiaTheme="minorEastAsia"/>
                <w:lang w:eastAsia="zh-CN"/>
              </w:rPr>
            </w:pPr>
          </w:p>
        </w:tc>
        <w:tc>
          <w:tcPr>
            <w:tcW w:w="1044" w:type="dxa"/>
          </w:tcPr>
          <w:p w14:paraId="0AB80C60" w14:textId="77777777" w:rsidR="00E405A9" w:rsidRDefault="00E405A9" w:rsidP="008D275E">
            <w:pPr>
              <w:rPr>
                <w:rFonts w:eastAsiaTheme="minorEastAsia"/>
                <w:lang w:eastAsia="zh-CN"/>
              </w:rPr>
            </w:pPr>
          </w:p>
        </w:tc>
        <w:tc>
          <w:tcPr>
            <w:tcW w:w="1044" w:type="dxa"/>
          </w:tcPr>
          <w:p w14:paraId="51BF719A" w14:textId="77777777" w:rsidR="00E405A9" w:rsidRDefault="00E405A9" w:rsidP="008D275E">
            <w:pPr>
              <w:rPr>
                <w:rFonts w:eastAsiaTheme="minorEastAsia"/>
                <w:lang w:eastAsia="zh-CN"/>
              </w:rPr>
            </w:pPr>
          </w:p>
        </w:tc>
        <w:tc>
          <w:tcPr>
            <w:tcW w:w="1308" w:type="dxa"/>
          </w:tcPr>
          <w:p w14:paraId="3875F9A9" w14:textId="77777777" w:rsidR="00E405A9" w:rsidRDefault="00E405A9" w:rsidP="008D275E">
            <w:pPr>
              <w:rPr>
                <w:rFonts w:eastAsiaTheme="minorEastAsia"/>
                <w:lang w:eastAsia="zh-CN"/>
              </w:rPr>
            </w:pPr>
          </w:p>
        </w:tc>
        <w:tc>
          <w:tcPr>
            <w:tcW w:w="1308" w:type="dxa"/>
          </w:tcPr>
          <w:p w14:paraId="20F7A4A2" w14:textId="77777777" w:rsidR="00E405A9" w:rsidRDefault="00E405A9" w:rsidP="008D275E">
            <w:pPr>
              <w:rPr>
                <w:rFonts w:eastAsiaTheme="minorEastAsia"/>
                <w:lang w:eastAsia="zh-CN"/>
              </w:rPr>
            </w:pPr>
          </w:p>
        </w:tc>
        <w:tc>
          <w:tcPr>
            <w:tcW w:w="1308" w:type="dxa"/>
          </w:tcPr>
          <w:p w14:paraId="5773A554" w14:textId="77777777" w:rsidR="00E405A9" w:rsidRDefault="00E405A9" w:rsidP="008D275E">
            <w:pPr>
              <w:rPr>
                <w:rFonts w:eastAsiaTheme="minorEastAsia"/>
                <w:lang w:eastAsia="zh-CN"/>
              </w:rPr>
            </w:pPr>
          </w:p>
        </w:tc>
        <w:tc>
          <w:tcPr>
            <w:tcW w:w="1025" w:type="dxa"/>
          </w:tcPr>
          <w:p w14:paraId="5C61B13F" w14:textId="77777777" w:rsidR="00E405A9" w:rsidRDefault="00E405A9" w:rsidP="008D275E">
            <w:pPr>
              <w:rPr>
                <w:rFonts w:eastAsiaTheme="minorEastAsia"/>
                <w:lang w:eastAsia="zh-CN"/>
              </w:rPr>
            </w:pPr>
          </w:p>
        </w:tc>
      </w:tr>
      <w:tr w:rsidR="00E405A9" w:rsidRPr="00A57E2B" w14:paraId="0F3EE9A5" w14:textId="2AD9A1B1" w:rsidTr="00E405A9">
        <w:tc>
          <w:tcPr>
            <w:tcW w:w="1214" w:type="dxa"/>
          </w:tcPr>
          <w:p w14:paraId="62C04D42" w14:textId="4731643D" w:rsidR="00E405A9" w:rsidRDefault="00E405A9" w:rsidP="008D275E">
            <w:pPr>
              <w:rPr>
                <w:rFonts w:eastAsiaTheme="minorEastAsia"/>
                <w:lang w:eastAsia="zh-CN"/>
              </w:rPr>
            </w:pPr>
          </w:p>
        </w:tc>
        <w:tc>
          <w:tcPr>
            <w:tcW w:w="1111" w:type="dxa"/>
          </w:tcPr>
          <w:p w14:paraId="0660D17E" w14:textId="77777777" w:rsidR="00E405A9" w:rsidRDefault="00E405A9" w:rsidP="008D275E">
            <w:pPr>
              <w:rPr>
                <w:rFonts w:eastAsiaTheme="minorEastAsia"/>
                <w:lang w:eastAsia="zh-CN"/>
              </w:rPr>
            </w:pPr>
          </w:p>
        </w:tc>
        <w:tc>
          <w:tcPr>
            <w:tcW w:w="1044" w:type="dxa"/>
          </w:tcPr>
          <w:p w14:paraId="4B51938F" w14:textId="77777777" w:rsidR="00E405A9" w:rsidRDefault="00E405A9" w:rsidP="008D275E">
            <w:pPr>
              <w:rPr>
                <w:rFonts w:eastAsiaTheme="minorEastAsia"/>
                <w:lang w:eastAsia="zh-CN"/>
              </w:rPr>
            </w:pPr>
          </w:p>
        </w:tc>
        <w:tc>
          <w:tcPr>
            <w:tcW w:w="1044" w:type="dxa"/>
          </w:tcPr>
          <w:p w14:paraId="1396A50D" w14:textId="549DDCED" w:rsidR="00E405A9" w:rsidRDefault="00E405A9" w:rsidP="008D275E">
            <w:pPr>
              <w:rPr>
                <w:rFonts w:eastAsiaTheme="minorEastAsia"/>
                <w:lang w:eastAsia="zh-CN"/>
              </w:rPr>
            </w:pPr>
          </w:p>
        </w:tc>
        <w:tc>
          <w:tcPr>
            <w:tcW w:w="1308" w:type="dxa"/>
          </w:tcPr>
          <w:p w14:paraId="15469DDF" w14:textId="4F24DF78" w:rsidR="00E405A9" w:rsidRDefault="00E405A9" w:rsidP="008D275E">
            <w:pPr>
              <w:rPr>
                <w:rFonts w:eastAsiaTheme="minorEastAsia"/>
                <w:lang w:eastAsia="zh-CN"/>
              </w:rPr>
            </w:pPr>
          </w:p>
        </w:tc>
        <w:tc>
          <w:tcPr>
            <w:tcW w:w="1308" w:type="dxa"/>
          </w:tcPr>
          <w:p w14:paraId="512325B0" w14:textId="740A6DD8" w:rsidR="00E405A9" w:rsidRDefault="00E405A9" w:rsidP="008D275E">
            <w:pPr>
              <w:rPr>
                <w:rFonts w:eastAsiaTheme="minorEastAsia"/>
                <w:lang w:eastAsia="zh-CN"/>
              </w:rPr>
            </w:pPr>
          </w:p>
        </w:tc>
        <w:tc>
          <w:tcPr>
            <w:tcW w:w="1308" w:type="dxa"/>
          </w:tcPr>
          <w:p w14:paraId="4C69BB2F" w14:textId="6A26F824" w:rsidR="00E405A9" w:rsidRDefault="00E405A9" w:rsidP="008D275E">
            <w:pPr>
              <w:rPr>
                <w:rFonts w:eastAsiaTheme="minorEastAsia"/>
                <w:lang w:eastAsia="zh-CN"/>
              </w:rPr>
            </w:pPr>
          </w:p>
        </w:tc>
        <w:tc>
          <w:tcPr>
            <w:tcW w:w="1025" w:type="dxa"/>
          </w:tcPr>
          <w:p w14:paraId="7A1CDB0A" w14:textId="77777777" w:rsidR="00E405A9" w:rsidRDefault="00E405A9" w:rsidP="008D275E">
            <w:pPr>
              <w:rPr>
                <w:rFonts w:eastAsiaTheme="minorEastAsia"/>
                <w:lang w:eastAsia="zh-CN"/>
              </w:rPr>
            </w:pPr>
          </w:p>
        </w:tc>
      </w:tr>
      <w:tr w:rsidR="00E405A9" w:rsidRPr="00A57E2B" w14:paraId="6B5825DE" w14:textId="400C035F" w:rsidTr="00E405A9">
        <w:tc>
          <w:tcPr>
            <w:tcW w:w="1214" w:type="dxa"/>
          </w:tcPr>
          <w:p w14:paraId="7B96242C" w14:textId="77777777" w:rsidR="00E405A9" w:rsidRPr="0096651E" w:rsidRDefault="00E405A9" w:rsidP="008D275E">
            <w:pPr>
              <w:rPr>
                <w:rFonts w:eastAsia="맑은 고딕"/>
              </w:rPr>
            </w:pPr>
          </w:p>
        </w:tc>
        <w:tc>
          <w:tcPr>
            <w:tcW w:w="1111" w:type="dxa"/>
          </w:tcPr>
          <w:p w14:paraId="49F6A5E4" w14:textId="77777777" w:rsidR="00E405A9" w:rsidRPr="0096651E" w:rsidRDefault="00E405A9" w:rsidP="008D275E">
            <w:pPr>
              <w:rPr>
                <w:rFonts w:eastAsia="맑은 고딕"/>
              </w:rPr>
            </w:pPr>
          </w:p>
        </w:tc>
        <w:tc>
          <w:tcPr>
            <w:tcW w:w="1044" w:type="dxa"/>
          </w:tcPr>
          <w:p w14:paraId="16470A0D" w14:textId="77777777" w:rsidR="00E405A9" w:rsidRDefault="00E405A9" w:rsidP="008D275E">
            <w:pPr>
              <w:rPr>
                <w:rFonts w:eastAsiaTheme="minorEastAsia"/>
                <w:lang w:eastAsia="zh-CN"/>
              </w:rPr>
            </w:pPr>
          </w:p>
        </w:tc>
        <w:tc>
          <w:tcPr>
            <w:tcW w:w="1044" w:type="dxa"/>
          </w:tcPr>
          <w:p w14:paraId="3E594F9E" w14:textId="77777777" w:rsidR="00E405A9" w:rsidRDefault="00E405A9" w:rsidP="008D275E">
            <w:pPr>
              <w:rPr>
                <w:rFonts w:eastAsiaTheme="minorEastAsia"/>
                <w:lang w:eastAsia="zh-CN"/>
              </w:rPr>
            </w:pPr>
          </w:p>
        </w:tc>
        <w:tc>
          <w:tcPr>
            <w:tcW w:w="1308" w:type="dxa"/>
          </w:tcPr>
          <w:p w14:paraId="03503166" w14:textId="77777777" w:rsidR="00E405A9" w:rsidRDefault="00E405A9" w:rsidP="008D275E">
            <w:pPr>
              <w:rPr>
                <w:rFonts w:eastAsiaTheme="minorEastAsia"/>
                <w:lang w:eastAsia="zh-CN"/>
              </w:rPr>
            </w:pPr>
          </w:p>
        </w:tc>
        <w:tc>
          <w:tcPr>
            <w:tcW w:w="1308" w:type="dxa"/>
          </w:tcPr>
          <w:p w14:paraId="3683D718" w14:textId="77777777" w:rsidR="00E405A9" w:rsidRDefault="00E405A9" w:rsidP="008D275E">
            <w:pPr>
              <w:rPr>
                <w:rFonts w:eastAsiaTheme="minorEastAsia"/>
                <w:lang w:eastAsia="zh-CN"/>
              </w:rPr>
            </w:pPr>
          </w:p>
        </w:tc>
        <w:tc>
          <w:tcPr>
            <w:tcW w:w="1308" w:type="dxa"/>
          </w:tcPr>
          <w:p w14:paraId="7ADF80AB" w14:textId="77777777" w:rsidR="00E405A9" w:rsidRDefault="00E405A9" w:rsidP="008D275E">
            <w:pPr>
              <w:rPr>
                <w:rFonts w:eastAsiaTheme="minorEastAsia"/>
                <w:lang w:eastAsia="zh-CN"/>
              </w:rPr>
            </w:pPr>
          </w:p>
        </w:tc>
        <w:tc>
          <w:tcPr>
            <w:tcW w:w="1025" w:type="dxa"/>
          </w:tcPr>
          <w:p w14:paraId="27EA2D5A" w14:textId="77777777" w:rsidR="00E405A9" w:rsidRDefault="00E405A9" w:rsidP="008D275E">
            <w:pPr>
              <w:rPr>
                <w:rFonts w:eastAsiaTheme="minorEastAsia"/>
                <w:lang w:eastAsia="zh-CN"/>
              </w:rPr>
            </w:pPr>
          </w:p>
        </w:tc>
      </w:tr>
      <w:tr w:rsidR="00E405A9" w:rsidRPr="00A57E2B" w14:paraId="6699DA9C" w14:textId="5DDAA75E" w:rsidTr="00E405A9">
        <w:tc>
          <w:tcPr>
            <w:tcW w:w="1214" w:type="dxa"/>
          </w:tcPr>
          <w:p w14:paraId="2FB19855" w14:textId="77777777" w:rsidR="00E405A9" w:rsidRDefault="00E405A9" w:rsidP="008D275E">
            <w:pPr>
              <w:rPr>
                <w:rFonts w:eastAsia="맑은 고딕"/>
              </w:rPr>
            </w:pPr>
          </w:p>
        </w:tc>
        <w:tc>
          <w:tcPr>
            <w:tcW w:w="1111" w:type="dxa"/>
          </w:tcPr>
          <w:p w14:paraId="4B2DB0E5" w14:textId="77777777" w:rsidR="00E405A9" w:rsidRDefault="00E405A9" w:rsidP="008D275E">
            <w:pPr>
              <w:rPr>
                <w:rFonts w:eastAsia="맑은 고딕"/>
              </w:rPr>
            </w:pPr>
          </w:p>
        </w:tc>
        <w:tc>
          <w:tcPr>
            <w:tcW w:w="1044" w:type="dxa"/>
          </w:tcPr>
          <w:p w14:paraId="32E82DFD" w14:textId="77777777" w:rsidR="00E405A9" w:rsidRDefault="00E405A9" w:rsidP="008D275E">
            <w:pPr>
              <w:rPr>
                <w:rFonts w:eastAsiaTheme="minorEastAsia"/>
                <w:lang w:eastAsia="zh-CN"/>
              </w:rPr>
            </w:pPr>
          </w:p>
        </w:tc>
        <w:tc>
          <w:tcPr>
            <w:tcW w:w="1044" w:type="dxa"/>
          </w:tcPr>
          <w:p w14:paraId="103912DD" w14:textId="77777777" w:rsidR="00E405A9" w:rsidRDefault="00E405A9" w:rsidP="008D275E">
            <w:pPr>
              <w:rPr>
                <w:rFonts w:eastAsiaTheme="minorEastAsia"/>
                <w:lang w:eastAsia="zh-CN"/>
              </w:rPr>
            </w:pPr>
          </w:p>
        </w:tc>
        <w:tc>
          <w:tcPr>
            <w:tcW w:w="1308" w:type="dxa"/>
          </w:tcPr>
          <w:p w14:paraId="7895547D" w14:textId="77777777" w:rsidR="00E405A9" w:rsidRDefault="00E405A9" w:rsidP="008D275E">
            <w:pPr>
              <w:rPr>
                <w:rFonts w:eastAsiaTheme="minorEastAsia"/>
                <w:lang w:eastAsia="zh-CN"/>
              </w:rPr>
            </w:pPr>
          </w:p>
        </w:tc>
        <w:tc>
          <w:tcPr>
            <w:tcW w:w="1308" w:type="dxa"/>
          </w:tcPr>
          <w:p w14:paraId="13D7460F" w14:textId="77777777" w:rsidR="00E405A9" w:rsidRDefault="00E405A9" w:rsidP="008D275E">
            <w:pPr>
              <w:rPr>
                <w:rFonts w:eastAsiaTheme="minorEastAsia"/>
                <w:lang w:eastAsia="zh-CN"/>
              </w:rPr>
            </w:pPr>
          </w:p>
        </w:tc>
        <w:tc>
          <w:tcPr>
            <w:tcW w:w="1308" w:type="dxa"/>
          </w:tcPr>
          <w:p w14:paraId="44A770A9" w14:textId="77777777" w:rsidR="00E405A9" w:rsidRDefault="00E405A9" w:rsidP="008D275E">
            <w:pPr>
              <w:rPr>
                <w:rFonts w:eastAsiaTheme="minorEastAsia"/>
                <w:lang w:eastAsia="zh-CN"/>
              </w:rPr>
            </w:pPr>
          </w:p>
        </w:tc>
        <w:tc>
          <w:tcPr>
            <w:tcW w:w="1025" w:type="dxa"/>
          </w:tcPr>
          <w:p w14:paraId="28539A8A" w14:textId="77777777" w:rsidR="00E405A9" w:rsidRDefault="00E405A9" w:rsidP="008D275E">
            <w:pPr>
              <w:rPr>
                <w:rFonts w:eastAsiaTheme="minorEastAsia"/>
                <w:lang w:eastAsia="zh-CN"/>
              </w:rPr>
            </w:pPr>
          </w:p>
        </w:tc>
      </w:tr>
      <w:tr w:rsidR="00E405A9" w:rsidRPr="00A57E2B" w14:paraId="20A21C3D" w14:textId="2A5C6E5C" w:rsidTr="00E405A9">
        <w:tc>
          <w:tcPr>
            <w:tcW w:w="1214" w:type="dxa"/>
          </w:tcPr>
          <w:p w14:paraId="37647CFF" w14:textId="77777777" w:rsidR="00E405A9" w:rsidRPr="00F24DA5" w:rsidRDefault="00E405A9" w:rsidP="008D275E">
            <w:pPr>
              <w:rPr>
                <w:rFonts w:eastAsia="맑은 고딕"/>
              </w:rPr>
            </w:pPr>
          </w:p>
        </w:tc>
        <w:tc>
          <w:tcPr>
            <w:tcW w:w="1111" w:type="dxa"/>
          </w:tcPr>
          <w:p w14:paraId="251C12D0" w14:textId="77777777" w:rsidR="00E405A9" w:rsidRPr="00F24DA5" w:rsidRDefault="00E405A9" w:rsidP="008D275E">
            <w:pPr>
              <w:rPr>
                <w:rFonts w:eastAsia="맑은 고딕"/>
              </w:rPr>
            </w:pPr>
          </w:p>
        </w:tc>
        <w:tc>
          <w:tcPr>
            <w:tcW w:w="1044" w:type="dxa"/>
          </w:tcPr>
          <w:p w14:paraId="410A76AD" w14:textId="77777777" w:rsidR="00E405A9" w:rsidRDefault="00E405A9" w:rsidP="008D275E">
            <w:pPr>
              <w:rPr>
                <w:rFonts w:eastAsiaTheme="minorEastAsia"/>
                <w:lang w:eastAsia="zh-CN"/>
              </w:rPr>
            </w:pPr>
          </w:p>
        </w:tc>
        <w:tc>
          <w:tcPr>
            <w:tcW w:w="1044" w:type="dxa"/>
          </w:tcPr>
          <w:p w14:paraId="49779EC4" w14:textId="77777777" w:rsidR="00E405A9" w:rsidRDefault="00E405A9" w:rsidP="008D275E">
            <w:pPr>
              <w:rPr>
                <w:rFonts w:eastAsiaTheme="minorEastAsia"/>
                <w:lang w:eastAsia="zh-CN"/>
              </w:rPr>
            </w:pPr>
          </w:p>
        </w:tc>
        <w:tc>
          <w:tcPr>
            <w:tcW w:w="1308" w:type="dxa"/>
          </w:tcPr>
          <w:p w14:paraId="0D12AFD4" w14:textId="77777777" w:rsidR="00E405A9" w:rsidRDefault="00E405A9" w:rsidP="008D275E">
            <w:pPr>
              <w:rPr>
                <w:rFonts w:eastAsiaTheme="minorEastAsia"/>
                <w:lang w:eastAsia="zh-CN"/>
              </w:rPr>
            </w:pPr>
          </w:p>
        </w:tc>
        <w:tc>
          <w:tcPr>
            <w:tcW w:w="1308" w:type="dxa"/>
          </w:tcPr>
          <w:p w14:paraId="20F01DB3" w14:textId="77777777" w:rsidR="00E405A9" w:rsidRDefault="00E405A9" w:rsidP="008D275E">
            <w:pPr>
              <w:rPr>
                <w:rFonts w:eastAsiaTheme="minorEastAsia"/>
                <w:lang w:eastAsia="zh-CN"/>
              </w:rPr>
            </w:pPr>
          </w:p>
        </w:tc>
        <w:tc>
          <w:tcPr>
            <w:tcW w:w="1308" w:type="dxa"/>
          </w:tcPr>
          <w:p w14:paraId="36B03305" w14:textId="77777777" w:rsidR="00E405A9" w:rsidRDefault="00E405A9" w:rsidP="008D275E">
            <w:pPr>
              <w:rPr>
                <w:rFonts w:eastAsiaTheme="minorEastAsia"/>
                <w:lang w:eastAsia="zh-CN"/>
              </w:rPr>
            </w:pPr>
          </w:p>
        </w:tc>
        <w:tc>
          <w:tcPr>
            <w:tcW w:w="1025" w:type="dxa"/>
          </w:tcPr>
          <w:p w14:paraId="37028B2D" w14:textId="77777777" w:rsidR="00E405A9" w:rsidRDefault="00E405A9" w:rsidP="008D275E">
            <w:pPr>
              <w:rPr>
                <w:rFonts w:eastAsiaTheme="minorEastAsia"/>
                <w:lang w:eastAsia="zh-CN"/>
              </w:rPr>
            </w:pPr>
          </w:p>
        </w:tc>
      </w:tr>
      <w:tr w:rsidR="00E405A9" w:rsidRPr="00A57E2B" w14:paraId="548E1802" w14:textId="77A20952" w:rsidTr="00E405A9">
        <w:tc>
          <w:tcPr>
            <w:tcW w:w="1214" w:type="dxa"/>
          </w:tcPr>
          <w:p w14:paraId="06220656" w14:textId="77777777" w:rsidR="00E405A9" w:rsidRPr="004C73BE" w:rsidRDefault="00E405A9" w:rsidP="008D275E">
            <w:pPr>
              <w:rPr>
                <w:rFonts w:eastAsiaTheme="minorEastAsia"/>
                <w:lang w:eastAsia="zh-CN"/>
              </w:rPr>
            </w:pPr>
          </w:p>
        </w:tc>
        <w:tc>
          <w:tcPr>
            <w:tcW w:w="1111" w:type="dxa"/>
          </w:tcPr>
          <w:p w14:paraId="6259D13B" w14:textId="77777777" w:rsidR="00E405A9" w:rsidRPr="00A2461E" w:rsidRDefault="00E405A9" w:rsidP="008D275E">
            <w:pPr>
              <w:rPr>
                <w:rFonts w:eastAsiaTheme="minorEastAsia"/>
                <w:lang w:eastAsia="zh-CN"/>
              </w:rPr>
            </w:pPr>
          </w:p>
        </w:tc>
        <w:tc>
          <w:tcPr>
            <w:tcW w:w="1044" w:type="dxa"/>
          </w:tcPr>
          <w:p w14:paraId="2ABCA2EB" w14:textId="77777777" w:rsidR="00E405A9" w:rsidRDefault="00E405A9" w:rsidP="008D275E">
            <w:pPr>
              <w:rPr>
                <w:rFonts w:eastAsiaTheme="minorEastAsia"/>
                <w:lang w:eastAsia="zh-CN"/>
              </w:rPr>
            </w:pPr>
          </w:p>
        </w:tc>
        <w:tc>
          <w:tcPr>
            <w:tcW w:w="1044" w:type="dxa"/>
          </w:tcPr>
          <w:p w14:paraId="21C2ED16" w14:textId="77777777" w:rsidR="00E405A9" w:rsidRDefault="00E405A9" w:rsidP="008D275E">
            <w:pPr>
              <w:rPr>
                <w:rFonts w:eastAsiaTheme="minorEastAsia"/>
                <w:lang w:eastAsia="zh-CN"/>
              </w:rPr>
            </w:pPr>
          </w:p>
        </w:tc>
        <w:tc>
          <w:tcPr>
            <w:tcW w:w="1308" w:type="dxa"/>
          </w:tcPr>
          <w:p w14:paraId="4E0E250E" w14:textId="77777777" w:rsidR="00E405A9" w:rsidRDefault="00E405A9" w:rsidP="008D275E">
            <w:pPr>
              <w:rPr>
                <w:rFonts w:eastAsiaTheme="minorEastAsia"/>
                <w:lang w:eastAsia="zh-CN"/>
              </w:rPr>
            </w:pPr>
          </w:p>
        </w:tc>
        <w:tc>
          <w:tcPr>
            <w:tcW w:w="1308" w:type="dxa"/>
          </w:tcPr>
          <w:p w14:paraId="0FB06F8B" w14:textId="77777777" w:rsidR="00E405A9" w:rsidRDefault="00E405A9" w:rsidP="008D275E">
            <w:pPr>
              <w:rPr>
                <w:rFonts w:eastAsiaTheme="minorEastAsia"/>
                <w:lang w:eastAsia="zh-CN"/>
              </w:rPr>
            </w:pPr>
          </w:p>
        </w:tc>
        <w:tc>
          <w:tcPr>
            <w:tcW w:w="1308" w:type="dxa"/>
          </w:tcPr>
          <w:p w14:paraId="7EB3D8B8" w14:textId="77777777" w:rsidR="00E405A9" w:rsidRDefault="00E405A9" w:rsidP="008D275E">
            <w:pPr>
              <w:rPr>
                <w:rFonts w:eastAsiaTheme="minorEastAsia"/>
                <w:lang w:eastAsia="zh-CN"/>
              </w:rPr>
            </w:pPr>
          </w:p>
        </w:tc>
        <w:tc>
          <w:tcPr>
            <w:tcW w:w="1025" w:type="dxa"/>
          </w:tcPr>
          <w:p w14:paraId="1E4C9609" w14:textId="77777777" w:rsidR="00E405A9" w:rsidRDefault="00E405A9" w:rsidP="008D275E">
            <w:pPr>
              <w:rPr>
                <w:rFonts w:eastAsiaTheme="minorEastAsia"/>
                <w:lang w:eastAsia="zh-CN"/>
              </w:rPr>
            </w:pPr>
          </w:p>
        </w:tc>
      </w:tr>
      <w:tr w:rsidR="00E405A9" w:rsidRPr="00A57E2B" w14:paraId="36AAE1BD" w14:textId="7B24ABDC" w:rsidTr="00E405A9">
        <w:tc>
          <w:tcPr>
            <w:tcW w:w="1214" w:type="dxa"/>
          </w:tcPr>
          <w:p w14:paraId="6A3BE6A8" w14:textId="77777777" w:rsidR="00E405A9" w:rsidRDefault="00E405A9" w:rsidP="008D275E">
            <w:pPr>
              <w:rPr>
                <w:rFonts w:eastAsiaTheme="minorEastAsia"/>
                <w:lang w:eastAsia="zh-CN"/>
              </w:rPr>
            </w:pPr>
          </w:p>
        </w:tc>
        <w:tc>
          <w:tcPr>
            <w:tcW w:w="1111" w:type="dxa"/>
          </w:tcPr>
          <w:p w14:paraId="170CA462" w14:textId="77777777" w:rsidR="00E405A9" w:rsidRDefault="00E405A9" w:rsidP="008D275E">
            <w:pPr>
              <w:rPr>
                <w:rFonts w:eastAsiaTheme="minorEastAsia"/>
                <w:lang w:eastAsia="zh-CN"/>
              </w:rPr>
            </w:pPr>
          </w:p>
        </w:tc>
        <w:tc>
          <w:tcPr>
            <w:tcW w:w="1044" w:type="dxa"/>
          </w:tcPr>
          <w:p w14:paraId="5B0B05E9" w14:textId="77777777" w:rsidR="00E405A9" w:rsidRDefault="00E405A9" w:rsidP="008D275E">
            <w:pPr>
              <w:rPr>
                <w:rFonts w:eastAsiaTheme="minorEastAsia"/>
                <w:lang w:eastAsia="zh-CN"/>
              </w:rPr>
            </w:pPr>
          </w:p>
        </w:tc>
        <w:tc>
          <w:tcPr>
            <w:tcW w:w="1044" w:type="dxa"/>
          </w:tcPr>
          <w:p w14:paraId="50EEB255" w14:textId="77777777" w:rsidR="00E405A9" w:rsidRDefault="00E405A9" w:rsidP="008D275E">
            <w:pPr>
              <w:rPr>
                <w:rFonts w:eastAsiaTheme="minorEastAsia"/>
                <w:lang w:eastAsia="zh-CN"/>
              </w:rPr>
            </w:pPr>
          </w:p>
        </w:tc>
        <w:tc>
          <w:tcPr>
            <w:tcW w:w="1308" w:type="dxa"/>
          </w:tcPr>
          <w:p w14:paraId="703C35ED" w14:textId="77777777" w:rsidR="00E405A9" w:rsidRDefault="00E405A9" w:rsidP="008D275E">
            <w:pPr>
              <w:rPr>
                <w:rFonts w:eastAsiaTheme="minorEastAsia"/>
                <w:lang w:eastAsia="zh-CN"/>
              </w:rPr>
            </w:pPr>
          </w:p>
        </w:tc>
        <w:tc>
          <w:tcPr>
            <w:tcW w:w="1308" w:type="dxa"/>
          </w:tcPr>
          <w:p w14:paraId="50EDB723" w14:textId="77777777" w:rsidR="00E405A9" w:rsidRDefault="00E405A9" w:rsidP="008D275E">
            <w:pPr>
              <w:rPr>
                <w:rFonts w:eastAsiaTheme="minorEastAsia"/>
                <w:lang w:eastAsia="zh-CN"/>
              </w:rPr>
            </w:pPr>
          </w:p>
        </w:tc>
        <w:tc>
          <w:tcPr>
            <w:tcW w:w="1308" w:type="dxa"/>
          </w:tcPr>
          <w:p w14:paraId="4A97A53D" w14:textId="77777777" w:rsidR="00E405A9" w:rsidRDefault="00E405A9" w:rsidP="008D275E">
            <w:pPr>
              <w:rPr>
                <w:rFonts w:eastAsiaTheme="minorEastAsia"/>
                <w:lang w:eastAsia="zh-CN"/>
              </w:rPr>
            </w:pPr>
          </w:p>
        </w:tc>
        <w:tc>
          <w:tcPr>
            <w:tcW w:w="1025" w:type="dxa"/>
          </w:tcPr>
          <w:p w14:paraId="48E219E5" w14:textId="77777777" w:rsidR="00E405A9" w:rsidRDefault="00E405A9" w:rsidP="008D275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sp-CSI reporting, SCell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actions are applied. It is in the gNB's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p/sp-CSI-RS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p/sp-CSI-RS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ListParagraph"/>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t>
            </w:r>
            <w:r>
              <w:lastRenderedPageBreak/>
              <w:t xml:space="preserve">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ListParagraph"/>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ListParagraph"/>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pPr>
              <w:rPr>
                <w:rFonts w:hint="eastAsia"/>
              </w:rPr>
            </w:pPr>
            <w:r>
              <w:rPr>
                <w:rFonts w:hint="eastAsia"/>
              </w:rPr>
              <w:lastRenderedPageBreak/>
              <w:t>Samsung</w:t>
            </w:r>
          </w:p>
        </w:tc>
        <w:tc>
          <w:tcPr>
            <w:tcW w:w="7567" w:type="dxa"/>
          </w:tcPr>
          <w:p w14:paraId="74AC2992" w14:textId="3BC69ED0" w:rsidR="007B1AC1" w:rsidRDefault="007B1AC1" w:rsidP="007B1AC1">
            <w:pPr>
              <w:rPr>
                <w:rFonts w:hint="eastAsia"/>
              </w:rPr>
            </w:pPr>
            <w:r>
              <w:rPr>
                <w:rFonts w:hint="eastAsia"/>
              </w:rPr>
              <w:t xml:space="preserve">For </w:t>
            </w:r>
            <w:r>
              <w:t xml:space="preserve">IA 3-1, we think </w:t>
            </w:r>
            <w:bookmarkStart w:id="1" w:name="_GoBack"/>
            <w:bookmarkEnd w:id="1"/>
            <w:r>
              <w:t>if a cell either of DL or UL is operated in unlicensed, UE should regard this as operation with shared spectrum.</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5"/>
      <w:headerReference w:type="default" r:id="rId16"/>
      <w:footerReference w:type="even" r:id="rId17"/>
      <w:footerReference w:type="default" r:id="rId18"/>
      <w:headerReference w:type="first" r:id="rId19"/>
      <w:footerReference w:type="first" r:id="rId20"/>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phen Grant" w:date="2021-04-08T14:54:00Z" w:initials="SG">
    <w:p w14:paraId="01246893" w14:textId="7A71AC32" w:rsidR="00E23A7B" w:rsidRDefault="00E23A7B">
      <w:pPr>
        <w:pStyle w:val="CommentText"/>
      </w:pPr>
      <w:r>
        <w:rPr>
          <w:rStyle w:val="CommentReference"/>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24689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5758" w14:textId="77777777" w:rsidR="002A377E" w:rsidRDefault="002A377E" w:rsidP="00C418D9">
      <w:r>
        <w:separator/>
      </w:r>
    </w:p>
    <w:p w14:paraId="375E79CD" w14:textId="77777777" w:rsidR="002A377E" w:rsidRDefault="002A377E"/>
    <w:p w14:paraId="3E73751B" w14:textId="77777777" w:rsidR="002A377E" w:rsidRDefault="002A377E" w:rsidP="00A73185"/>
  </w:endnote>
  <w:endnote w:type="continuationSeparator" w:id="0">
    <w:p w14:paraId="04BBCF8E" w14:textId="77777777" w:rsidR="002A377E" w:rsidRDefault="002A377E" w:rsidP="00C418D9">
      <w:r>
        <w:continuationSeparator/>
      </w:r>
    </w:p>
    <w:p w14:paraId="34163B66" w14:textId="77777777" w:rsidR="002A377E" w:rsidRDefault="002A377E"/>
    <w:p w14:paraId="53F19677" w14:textId="77777777" w:rsidR="002A377E" w:rsidRDefault="002A377E" w:rsidP="00A73185"/>
  </w:endnote>
  <w:endnote w:type="continuationNotice" w:id="1">
    <w:p w14:paraId="30D86602" w14:textId="77777777" w:rsidR="002A377E" w:rsidRDefault="002A377E" w:rsidP="00C418D9"/>
    <w:p w14:paraId="78CE1997" w14:textId="77777777" w:rsidR="002A377E" w:rsidRDefault="002A377E"/>
    <w:p w14:paraId="15B89EE8" w14:textId="77777777" w:rsidR="002A377E" w:rsidRDefault="002A377E"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4892072A"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B1AC1">
      <w:rPr>
        <w:rStyle w:val="PageNumber"/>
        <w:noProof/>
      </w:rPr>
      <w:t>5</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63AC" w14:textId="77777777" w:rsidR="00C71F08" w:rsidRDefault="00C7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82A8" w14:textId="77777777" w:rsidR="002A377E" w:rsidRDefault="002A377E" w:rsidP="00C418D9">
      <w:r>
        <w:separator/>
      </w:r>
    </w:p>
    <w:p w14:paraId="12043675" w14:textId="77777777" w:rsidR="002A377E" w:rsidRDefault="002A377E"/>
    <w:p w14:paraId="46A9EEA9" w14:textId="77777777" w:rsidR="002A377E" w:rsidRDefault="002A377E" w:rsidP="00A73185"/>
  </w:footnote>
  <w:footnote w:type="continuationSeparator" w:id="0">
    <w:p w14:paraId="244E2BC6" w14:textId="77777777" w:rsidR="002A377E" w:rsidRDefault="002A377E" w:rsidP="00C418D9">
      <w:r>
        <w:continuationSeparator/>
      </w:r>
    </w:p>
    <w:p w14:paraId="65F20D77" w14:textId="77777777" w:rsidR="002A377E" w:rsidRDefault="002A377E"/>
    <w:p w14:paraId="11FB81D9" w14:textId="77777777" w:rsidR="002A377E" w:rsidRDefault="002A377E" w:rsidP="00A73185"/>
  </w:footnote>
  <w:footnote w:type="continuationNotice" w:id="1">
    <w:p w14:paraId="3E1AD765" w14:textId="77777777" w:rsidR="002A377E" w:rsidRDefault="002A377E" w:rsidP="00C418D9"/>
    <w:p w14:paraId="26C619C8" w14:textId="77777777" w:rsidR="002A377E" w:rsidRDefault="002A377E"/>
    <w:p w14:paraId="18D7CA33" w14:textId="77777777" w:rsidR="002A377E" w:rsidRDefault="002A377E"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68A1" w14:textId="77777777" w:rsidR="00C71F08" w:rsidRDefault="00C7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CB80" w14:textId="77777777" w:rsidR="00C71F08" w:rsidRDefault="00C7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34D1" w14:textId="77777777" w:rsidR="00C71F08" w:rsidRDefault="00C7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돋움"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굴림"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돋움"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바탕" w:eastAsia="바탕"/>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바탕"/>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바탕"/>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굴림"/>
      <w:kern w:val="0"/>
    </w:rPr>
  </w:style>
  <w:style w:type="paragraph" w:styleId="PlainText">
    <w:name w:val="Plain Text"/>
    <w:basedOn w:val="Normal"/>
    <w:link w:val="PlainTextChar"/>
    <w:uiPriority w:val="99"/>
    <w:unhideWhenUsed/>
    <w:rsid w:val="006C40D2"/>
    <w:pPr>
      <w:jc w:val="left"/>
    </w:pPr>
    <w:rPr>
      <w:rFonts w:ascii="Courier New" w:eastAsia="굴림" w:hAnsi="Courier New"/>
      <w:szCs w:val="20"/>
      <w:lang w:val="x-none" w:eastAsia="x-none"/>
    </w:rPr>
  </w:style>
  <w:style w:type="character" w:customStyle="1" w:styleId="PlainTextChar">
    <w:name w:val="Plain Text Char"/>
    <w:link w:val="PlainText"/>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굴림"/>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7A28359B-FEE1-419D-A2FF-0DD1B7C8B91E}">
  <ds:schemaRefs>
    <ds:schemaRef ds:uri="http://schemas.openxmlformats.org/officeDocument/2006/bibliography"/>
  </ds:schemaRefs>
</ds:datastoreItem>
</file>

<file path=customXml/itemProps6.xml><?xml version="1.0" encoding="utf-8"?>
<ds:datastoreItem xmlns:ds="http://schemas.openxmlformats.org/officeDocument/2006/customXml" ds:itemID="{960940D8-F3B3-4C53-94DE-0AE79B3A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오진영/표준Research팀(SR)/Staff Engineer/삼성전자</cp:lastModifiedBy>
  <cp:revision>1</cp:revision>
  <cp:lastPrinted>2019-01-10T09:30:00Z</cp:lastPrinted>
  <dcterms:created xsi:type="dcterms:W3CDTF">2021-04-08T23:51:00Z</dcterms:created>
  <dcterms:modified xsi:type="dcterms:W3CDTF">2021-04-09T02:47:00Z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