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ab"/>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aff5"/>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宋体" w:eastAsia="宋体" w:hAnsi="宋体"/>
                <w:color w:val="000000"/>
                <w:lang w:eastAsia="zh-CN"/>
              </w:rPr>
            </w:pPr>
            <w:r>
              <w:rPr>
                <w:rFonts w:ascii="Times" w:eastAsia="宋体"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1"/>
        <w:ind w:left="900" w:hanging="900"/>
        <w:rPr>
          <w:rStyle w:val="10"/>
        </w:rPr>
      </w:pPr>
      <w:r>
        <w:rPr>
          <w:rStyle w:val="10"/>
        </w:rPr>
        <w:t>2</w:t>
      </w:r>
      <w:r w:rsidR="00060157">
        <w:rPr>
          <w:rStyle w:val="10"/>
        </w:rPr>
        <w:t xml:space="preserve">. </w:t>
      </w:r>
      <w:r w:rsidR="00060157">
        <w:t>Issue related to RAN4 LS on applicability of p-NR-FR2</w:t>
      </w:r>
    </w:p>
    <w:p w14:paraId="38BC611E" w14:textId="0DFBDE75" w:rsidR="00937351" w:rsidRDefault="00937351" w:rsidP="00FF39EE">
      <w:pPr>
        <w:pStyle w:val="aa"/>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aa"/>
        <w:jc w:val="center"/>
        <w:rPr>
          <w:rFonts w:cs="Arial"/>
          <w:lang w:eastAsia="ja-JP"/>
        </w:rPr>
      </w:pPr>
      <w:r>
        <w:rPr>
          <w:noProof/>
          <w:lang w:val="en-US" w:eastAsia="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aa"/>
        <w:rPr>
          <w:rFonts w:cs="Arial"/>
          <w:lang w:eastAsia="ja-JP"/>
        </w:rPr>
      </w:pPr>
    </w:p>
    <w:p w14:paraId="51D6A087" w14:textId="77777777" w:rsidR="00937351" w:rsidRDefault="00937351" w:rsidP="00937351">
      <w:pPr>
        <w:pStyle w:val="aa"/>
      </w:pPr>
      <w:r>
        <w:t>The parameter is used 38.213 subclause 7.6.2 as shown in below text excerpt.</w:t>
      </w:r>
    </w:p>
    <w:p w14:paraId="31D949CA" w14:textId="77777777" w:rsidR="00937351" w:rsidRPr="005A521C" w:rsidRDefault="00937351" w:rsidP="00937351">
      <w:pPr>
        <w:pStyle w:val="aa"/>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aa"/>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aa"/>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aa"/>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aa"/>
        <w:jc w:val="center"/>
        <w:rPr>
          <w:rFonts w:cs="Arial"/>
          <w:b/>
          <w:bCs/>
          <w:lang w:eastAsia="ja-JP"/>
        </w:rPr>
      </w:pPr>
      <w:r w:rsidRPr="00691D61">
        <w:rPr>
          <w:rFonts w:cs="Arial"/>
          <w:b/>
          <w:bCs/>
          <w:lang w:eastAsia="ja-JP"/>
        </w:rPr>
        <w:t>Table 1: Potential options</w:t>
      </w:r>
    </w:p>
    <w:tbl>
      <w:tblPr>
        <w:tblStyle w:val="aff5"/>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aa"/>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aff0"/>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aff5"/>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 xml:space="preserve">herefore, we suggest to send </w:t>
            </w:r>
            <w:proofErr w:type="gramStart"/>
            <w:r>
              <w:rPr>
                <w:rFonts w:ascii="Arial" w:eastAsia="Yu Mincho" w:hAnsi="Arial" w:cs="Arial"/>
                <w:sz w:val="20"/>
                <w:szCs w:val="20"/>
                <w:lang w:val="en-US"/>
              </w:rPr>
              <w:t>an</w:t>
            </w:r>
            <w:proofErr w:type="gramEnd"/>
            <w:r>
              <w:rPr>
                <w:rFonts w:ascii="Arial" w:eastAsia="Yu Mincho" w:hAnsi="Arial" w:cs="Arial"/>
                <w:sz w:val="20"/>
                <w:szCs w:val="20"/>
                <w:lang w:val="en-US"/>
              </w:rPr>
              <w:t xml:space="preserve">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lang w:val="en-US"/>
              </w:rPr>
            </w:pPr>
            <w:r>
              <w:rPr>
                <w:rFonts w:ascii="Arial" w:eastAsia="Yu Mincho" w:hAnsi="Arial" w:cs="Arial"/>
                <w:lang w:val="en-US"/>
              </w:rPr>
              <w:t>Share the same view of ZTE/CATT/Samsung.</w:t>
            </w:r>
          </w:p>
        </w:tc>
      </w:tr>
      <w:tr w:rsidR="00C947F4" w14:paraId="2126C986" w14:textId="77777777" w:rsidTr="00691D61">
        <w:tc>
          <w:tcPr>
            <w:tcW w:w="1809" w:type="dxa"/>
          </w:tcPr>
          <w:p w14:paraId="2B18B3B2" w14:textId="36D8BEC6" w:rsidR="00C947F4" w:rsidRPr="00C947F4" w:rsidRDefault="00C947F4" w:rsidP="001D2849">
            <w:pPr>
              <w:spacing w:after="120"/>
              <w:jc w:val="both"/>
              <w:rPr>
                <w:rFonts w:ascii="Arial" w:hAnsi="Arial" w:cs="Arial"/>
                <w:lang w:val="en-US"/>
              </w:rPr>
            </w:pPr>
            <w:r>
              <w:rPr>
                <w:rFonts w:ascii="Arial" w:hAnsi="Arial" w:cs="Arial"/>
                <w:lang w:val="en-US"/>
              </w:rPr>
              <w:t>vivo</w:t>
            </w:r>
          </w:p>
        </w:tc>
        <w:tc>
          <w:tcPr>
            <w:tcW w:w="2236" w:type="dxa"/>
          </w:tcPr>
          <w:p w14:paraId="6DB27D8A" w14:textId="3C27B5B7" w:rsidR="00C947F4" w:rsidRDefault="00C947F4" w:rsidP="001D2849">
            <w:pPr>
              <w:spacing w:after="120"/>
              <w:jc w:val="both"/>
              <w:rPr>
                <w:rFonts w:ascii="Arial" w:hAnsi="Arial" w:cs="Arial"/>
                <w:lang w:val="en-US"/>
              </w:rPr>
            </w:pPr>
            <w:r>
              <w:rPr>
                <w:rFonts w:ascii="Arial" w:hAnsi="Arial" w:cs="Arial"/>
                <w:lang w:val="en-US"/>
              </w:rPr>
              <w:t>Option 2</w:t>
            </w:r>
          </w:p>
        </w:tc>
        <w:tc>
          <w:tcPr>
            <w:tcW w:w="5584" w:type="dxa"/>
          </w:tcPr>
          <w:p w14:paraId="5169BFA5" w14:textId="468AA402" w:rsidR="00C947F4" w:rsidRDefault="00C947F4" w:rsidP="001D2849">
            <w:pPr>
              <w:spacing w:after="120"/>
              <w:jc w:val="both"/>
              <w:rPr>
                <w:rFonts w:ascii="Arial" w:eastAsia="Yu Mincho" w:hAnsi="Arial" w:cs="Arial"/>
                <w:sz w:val="20"/>
                <w:szCs w:val="20"/>
                <w:lang w:val="en-US"/>
              </w:rPr>
            </w:pPr>
            <w:r>
              <w:rPr>
                <w:rFonts w:ascii="Arial" w:eastAsia="Yu Mincho" w:hAnsi="Arial" w:cs="Arial"/>
                <w:lang w:val="en-US"/>
              </w:rPr>
              <w:t xml:space="preserve">We have similar understanding as Qualcomm. Given that RAN4 </w:t>
            </w:r>
            <w:r>
              <w:rPr>
                <w:rFonts w:ascii="Arial" w:eastAsia="Yu Mincho" w:hAnsi="Arial" w:cs="Arial"/>
                <w:sz w:val="20"/>
                <w:szCs w:val="20"/>
                <w:lang w:val="en-US"/>
              </w:rPr>
              <w:t xml:space="preserve">characterizes the FR2 Tx power by TRP and EIRP, </w:t>
            </w:r>
            <w:r w:rsidRPr="00C947F4">
              <w:rPr>
                <w:rFonts w:ascii="Arial" w:eastAsia="Yu Mincho" w:hAnsi="Arial" w:cs="Arial"/>
                <w:sz w:val="20"/>
                <w:szCs w:val="20"/>
                <w:lang w:val="en-US"/>
              </w:rPr>
              <w:t xml:space="preserve">it is obviously </w:t>
            </w:r>
            <w:r w:rsidR="00E86FF1">
              <w:rPr>
                <w:rFonts w:ascii="Arial" w:eastAsia="Yu Mincho" w:hAnsi="Arial" w:cs="Arial"/>
                <w:sz w:val="20"/>
                <w:szCs w:val="20"/>
                <w:lang w:val="en-US"/>
              </w:rPr>
              <w:t xml:space="preserve">that </w:t>
            </w:r>
            <w:r w:rsidR="00E86FF1">
              <w:rPr>
                <w:rFonts w:ascii="Arial" w:eastAsia="Yu Mincho" w:hAnsi="Arial" w:cs="Arial"/>
                <w:sz w:val="20"/>
                <w:szCs w:val="20"/>
                <w:lang w:val="en-US"/>
              </w:rPr>
              <w:t xml:space="preserve">the parameters use </w:t>
            </w:r>
            <w:r w:rsidR="00E86FF1" w:rsidRPr="00B61C72">
              <w:rPr>
                <w:rFonts w:ascii="Arial" w:eastAsia="Yu Mincho" w:hAnsi="Arial" w:cs="Arial"/>
                <w:i/>
                <w:iCs/>
                <w:sz w:val="20"/>
                <w:szCs w:val="20"/>
                <w:lang w:val="en-US"/>
              </w:rPr>
              <w:t>p-UE-FR2</w:t>
            </w:r>
            <w:r w:rsidR="00E86FF1">
              <w:rPr>
                <w:rFonts w:ascii="Arial" w:eastAsia="Yu Mincho" w:hAnsi="Arial" w:cs="Arial"/>
                <w:sz w:val="20"/>
                <w:szCs w:val="20"/>
                <w:lang w:val="en-US"/>
              </w:rPr>
              <w:t xml:space="preserve"> and </w:t>
            </w:r>
            <w:r w:rsidR="00E86FF1" w:rsidRPr="00B61C72">
              <w:rPr>
                <w:rFonts w:ascii="Arial" w:eastAsia="Yu Mincho" w:hAnsi="Arial" w:cs="Arial"/>
                <w:i/>
                <w:iCs/>
                <w:sz w:val="20"/>
                <w:szCs w:val="20"/>
                <w:lang w:val="en-US"/>
              </w:rPr>
              <w:t>p-NR-FR2</w:t>
            </w:r>
            <w:r w:rsidR="00E86FF1">
              <w:rPr>
                <w:rFonts w:ascii="Arial" w:eastAsia="Yu Mincho" w:hAnsi="Arial" w:cs="Arial"/>
                <w:i/>
                <w:iCs/>
                <w:sz w:val="20"/>
                <w:szCs w:val="20"/>
                <w:lang w:val="en-US"/>
              </w:rPr>
              <w:t xml:space="preserve"> </w:t>
            </w:r>
            <w:r w:rsidR="00E86FF1">
              <w:rPr>
                <w:rFonts w:ascii="Arial" w:eastAsia="Yu Mincho" w:hAnsi="Arial" w:cs="Arial"/>
                <w:sz w:val="20"/>
                <w:szCs w:val="20"/>
                <w:lang w:val="en-US"/>
              </w:rPr>
              <w:t xml:space="preserve">are </w:t>
            </w:r>
            <w:r w:rsidR="00E86FF1">
              <w:rPr>
                <w:rFonts w:ascii="Arial" w:eastAsia="Yu Mincho" w:hAnsi="Arial" w:cs="Arial"/>
                <w:sz w:val="20"/>
                <w:szCs w:val="20"/>
                <w:lang w:val="en-US"/>
              </w:rPr>
              <w:t xml:space="preserve">useless, and the configuration-based </w:t>
            </w:r>
            <w:r w:rsidRPr="00C947F4">
              <w:rPr>
                <w:rFonts w:ascii="Arial" w:eastAsia="Yu Mincho" w:hAnsi="Arial" w:cs="Arial"/>
                <w:sz w:val="20"/>
                <w:szCs w:val="20"/>
                <w:lang w:val="en-US"/>
              </w:rPr>
              <w:t>FR2 NR-DC power sharing does not work</w:t>
            </w:r>
            <w:r>
              <w:rPr>
                <w:rFonts w:ascii="Arial" w:eastAsia="Yu Mincho" w:hAnsi="Arial" w:cs="Arial"/>
                <w:sz w:val="20"/>
                <w:szCs w:val="20"/>
                <w:lang w:val="en-US"/>
              </w:rPr>
              <w:t xml:space="preserve">. Thus, option 2 is </w:t>
            </w:r>
            <w:r w:rsidR="00E86FF1">
              <w:rPr>
                <w:rFonts w:ascii="Arial" w:eastAsia="Yu Mincho" w:hAnsi="Arial" w:cs="Arial"/>
                <w:sz w:val="20"/>
                <w:szCs w:val="20"/>
                <w:lang w:val="en-US"/>
              </w:rPr>
              <w:t>a much</w:t>
            </w:r>
            <w:r>
              <w:rPr>
                <w:rFonts w:ascii="Arial" w:eastAsia="Yu Mincho" w:hAnsi="Arial" w:cs="Arial"/>
                <w:sz w:val="20"/>
                <w:szCs w:val="20"/>
                <w:lang w:val="en-US"/>
              </w:rPr>
              <w:t xml:space="preserve"> clear approach.</w:t>
            </w:r>
            <w:bookmarkStart w:id="1" w:name="_GoBack"/>
            <w:bookmarkEnd w:id="1"/>
          </w:p>
          <w:p w14:paraId="73871B14" w14:textId="307DCA14" w:rsidR="00C947F4" w:rsidRDefault="00C947F4" w:rsidP="001D2849">
            <w:pPr>
              <w:spacing w:after="120"/>
              <w:jc w:val="both"/>
              <w:rPr>
                <w:rFonts w:ascii="Arial" w:eastAsia="Yu Mincho" w:hAnsi="Arial" w:cs="Arial"/>
                <w:lang w:val="en-US"/>
              </w:rPr>
            </w:pPr>
            <w:r>
              <w:rPr>
                <w:rFonts w:ascii="Arial" w:eastAsia="Yu Mincho" w:hAnsi="Arial" w:cs="Arial"/>
                <w:lang w:val="en-US"/>
              </w:rPr>
              <w:t xml:space="preserve">We are also fine to the suggestion from Qualcomm, i.e., sending </w:t>
            </w:r>
            <w:proofErr w:type="gramStart"/>
            <w:r>
              <w:rPr>
                <w:rFonts w:ascii="Arial" w:eastAsia="Yu Mincho" w:hAnsi="Arial" w:cs="Arial"/>
                <w:lang w:val="en-US"/>
              </w:rPr>
              <w:t>an</w:t>
            </w:r>
            <w:proofErr w:type="gramEnd"/>
            <w:r>
              <w:rPr>
                <w:rFonts w:ascii="Arial" w:eastAsia="Yu Mincho" w:hAnsi="Arial" w:cs="Arial"/>
                <w:lang w:val="en-US"/>
              </w:rPr>
              <w:t xml:space="preserve"> LS to RAN4 to ask the feasibility of independent power control for FR2 NR-DC.</w:t>
            </w:r>
          </w:p>
        </w:tc>
      </w:tr>
    </w:tbl>
    <w:p w14:paraId="764C82D8" w14:textId="0EC09467" w:rsidR="007E6D41" w:rsidRDefault="007E6D41" w:rsidP="00CE0424">
      <w:pPr>
        <w:pStyle w:val="aa"/>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aa"/>
        <w:rPr>
          <w:lang w:val="en-US"/>
        </w:rPr>
      </w:pPr>
    </w:p>
    <w:p w14:paraId="0643E819" w14:textId="77777777" w:rsidR="008E6B9C" w:rsidRDefault="008E6B9C" w:rsidP="00CE0424">
      <w:pPr>
        <w:pStyle w:val="aa"/>
      </w:pPr>
    </w:p>
    <w:p w14:paraId="1E71C650" w14:textId="30A445C5" w:rsidR="007E4E6C" w:rsidRPr="00CA49B6" w:rsidRDefault="00CA49B6" w:rsidP="00CA49B6">
      <w:pPr>
        <w:pStyle w:val="1"/>
        <w:ind w:left="900" w:hanging="900"/>
        <w:rPr>
          <w:rStyle w:val="10"/>
        </w:rPr>
      </w:pPr>
      <w:r>
        <w:rPr>
          <w:rStyle w:val="10"/>
        </w:rPr>
        <w:t>3</w:t>
      </w:r>
      <w:r w:rsidR="000050C9">
        <w:rPr>
          <w:rStyle w:val="10"/>
        </w:rPr>
        <w:t xml:space="preserve">. </w:t>
      </w:r>
      <w:r>
        <w:rPr>
          <w:rStyle w:val="10"/>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aff5"/>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w:t>
            </w:r>
            <w:r>
              <w:rPr>
                <w:rFonts w:ascii="Arial" w:hAnsi="Arial" w:cs="Arial"/>
                <w:lang w:val="en-US"/>
              </w:rPr>
              <w:lastRenderedPageBreak/>
              <w:t>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r w:rsidR="009A51D4" w:rsidRPr="00FE41C8" w14:paraId="73E6698D" w14:textId="77777777" w:rsidTr="00CA49B6">
        <w:tc>
          <w:tcPr>
            <w:tcW w:w="2292" w:type="dxa"/>
          </w:tcPr>
          <w:p w14:paraId="1A3BD77C" w14:textId="685CF66C" w:rsidR="009A51D4" w:rsidRDefault="009A51D4" w:rsidP="007F56EA">
            <w:pPr>
              <w:spacing w:after="120"/>
              <w:jc w:val="both"/>
              <w:rPr>
                <w:rFonts w:ascii="Arial" w:hAnsi="Arial" w:cs="Arial"/>
                <w:lang w:val="en-US"/>
              </w:rPr>
            </w:pPr>
            <w:r>
              <w:rPr>
                <w:rFonts w:ascii="Arial" w:hAnsi="Arial" w:cs="Arial"/>
                <w:lang w:val="en-US"/>
              </w:rPr>
              <w:lastRenderedPageBreak/>
              <w:t>vivo</w:t>
            </w:r>
          </w:p>
        </w:tc>
        <w:tc>
          <w:tcPr>
            <w:tcW w:w="1663" w:type="dxa"/>
          </w:tcPr>
          <w:p w14:paraId="04C66493" w14:textId="51668678" w:rsidR="009A51D4" w:rsidRDefault="009A51D4" w:rsidP="007F56EA">
            <w:pPr>
              <w:spacing w:after="120"/>
              <w:jc w:val="both"/>
              <w:rPr>
                <w:rFonts w:ascii="Arial" w:hAnsi="Arial" w:cs="Arial"/>
                <w:lang w:val="en-US"/>
              </w:rPr>
            </w:pPr>
            <w:r>
              <w:rPr>
                <w:rFonts w:ascii="Arial" w:hAnsi="Arial" w:cs="Arial"/>
                <w:lang w:val="en-US"/>
              </w:rPr>
              <w:t>Y</w:t>
            </w:r>
          </w:p>
        </w:tc>
        <w:tc>
          <w:tcPr>
            <w:tcW w:w="5083" w:type="dxa"/>
          </w:tcPr>
          <w:p w14:paraId="4A0D1B8A" w14:textId="63D25E93" w:rsidR="009A51D4" w:rsidRDefault="009A51D4" w:rsidP="007F56EA">
            <w:pPr>
              <w:spacing w:after="120"/>
              <w:jc w:val="both"/>
              <w:rPr>
                <w:rFonts w:ascii="Arial" w:hAnsi="Arial" w:cs="Arial"/>
                <w:lang w:val="en-US"/>
              </w:rPr>
            </w:pPr>
            <w:r>
              <w:rPr>
                <w:rFonts w:ascii="Arial" w:hAnsi="Arial" w:cs="Arial"/>
                <w:lang w:val="en-US"/>
              </w:rPr>
              <w:t>The CR looks fine to us.</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1"/>
        <w:spacing w:beforeLines="50" w:before="120" w:afterLines="50" w:after="120"/>
        <w:ind w:hangingChars="315"/>
        <w:jc w:val="both"/>
        <w:rPr>
          <w:rFonts w:eastAsia="宋体"/>
          <w:lang w:val="en-US" w:eastAsia="zh-CN"/>
        </w:rPr>
      </w:pPr>
      <w:r w:rsidRPr="00BA07B5">
        <w:rPr>
          <w:rFonts w:eastAsia="宋体"/>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B4C3" w14:textId="77777777" w:rsidR="00926B75" w:rsidRDefault="00926B75">
      <w:r>
        <w:separator/>
      </w:r>
    </w:p>
  </w:endnote>
  <w:endnote w:type="continuationSeparator" w:id="0">
    <w:p w14:paraId="7F48AD16" w14:textId="77777777" w:rsidR="00926B75" w:rsidRDefault="0092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CF67C50" w:rsidR="003F5914" w:rsidRDefault="003F591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D1BF3">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D1BF3">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63B3" w14:textId="77777777" w:rsidR="00926B75" w:rsidRDefault="00926B75">
      <w:r>
        <w:separator/>
      </w:r>
    </w:p>
  </w:footnote>
  <w:footnote w:type="continuationSeparator" w:id="0">
    <w:p w14:paraId="00036839" w14:textId="77777777" w:rsidR="00926B75" w:rsidRDefault="0092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65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2512"/>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26B75"/>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1D4"/>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47F4"/>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6FF1"/>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NMP Heading 1,H1,h11,h12,h13,h14,h15,h16,app heading 1,l1,Memo Heading 1,Heading 1_a,heading 1,h17,h111,h121,h131,h141,h151,h161,h18,h112,h122,h132,h142,h152,h162,h19,h113,h123,h133,h143,h153,h163,h1,제목 1(no line)"/>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basedOn w:val="a1"/>
    <w:link w:val="af5"/>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qFormat/>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textintend2">
    <w:name w:val="text intend 2"/>
    <w:basedOn w:val="a1"/>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D1C0-773C-40BE-9681-3D3D8226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4</cp:revision>
  <cp:lastPrinted>2008-01-31T07:09:00Z</cp:lastPrinted>
  <dcterms:created xsi:type="dcterms:W3CDTF">2021-04-13T06:19:00Z</dcterms:created>
  <dcterms:modified xsi:type="dcterms:W3CDTF">2021-04-13T06:24:00Z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