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Hyperlink"/>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PRACH transmission on the PCell</w:t>
      </w:r>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pt;height:89.4pt;mso-width-percent:0;mso-height-percent:0;mso-width-percent:0;mso-height-percent:0" o:ole="">
                  <v:imagedata r:id="rId12" o:title=""/>
                </v:shape>
                <o:OLEObject Type="Embed" ProgID="Visio.Drawing.15" ShapeID="_x0000_i1025" DrawAspect="Content" ObjectID="_1674059204"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19.9pt;mso-width-percent:0;mso-height-percent:0;mso-width-percent:0;mso-height-percent:0" o:ole="">
                  <v:imagedata r:id="rId14" o:title=""/>
                </v:shape>
                <o:OLEObject Type="Embed" ProgID="Visio.Drawing.15" ShapeID="_x0000_i1026" DrawAspect="Content" ObjectID="_1674059205"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29.2pt;height:89.4pt;mso-width-percent:0;mso-height-percent:0;mso-width-percent:0;mso-height-percent:0" o:ole="">
                  <v:imagedata r:id="rId12" o:title=""/>
                </v:shape>
                <o:OLEObject Type="Embed" ProgID="Visio.Drawing.15" ShapeID="_x0000_i1027" DrawAspect="Content" ObjectID="_1674059206"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19.9pt;mso-width-percent:0;mso-height-percent:0;mso-width-percent:0;mso-height-percent:0" o:ole="">
                  <v:imagedata r:id="rId14" o:title=""/>
                </v:shape>
                <o:OLEObject Type="Embed" ProgID="Visio.Drawing.15" ShapeID="_x0000_i1028" DrawAspect="Content" ObjectID="_1674059207"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 xml:space="preserve">can be acceptable. Regarding the last sub-bullet proposed by Ericsson, I would like to encourage companies to check whether it </w:t>
            </w:r>
            <w:r>
              <w:rPr>
                <w:rFonts w:ascii="Arial" w:hAnsi="Arial" w:cs="Arial"/>
                <w:b/>
                <w:bCs/>
                <w:szCs w:val="21"/>
                <w:lang w:val="en-GB"/>
              </w:rPr>
              <w:lastRenderedPageBreak/>
              <w:t>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ListParagraph"/>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ListParagraph"/>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It is not clear whether the last FFS point assumes that the RAN4 reply is used as the starting point to determine design 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lastRenderedPageBreak/>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ListParagraph"/>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ListParagraph"/>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ListParagraph"/>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ListParagraph"/>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lastRenderedPageBreak/>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lastRenderedPageBreak/>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w:t>
            </w:r>
            <w:r>
              <w:rPr>
                <w:rFonts w:ascii="Arial" w:hAnsi="Arial" w:cs="Arial"/>
                <w:bCs/>
                <w:szCs w:val="21"/>
                <w:lang w:val="en-GB"/>
              </w:rPr>
              <w:lastRenderedPageBreak/>
              <w:t>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lastRenderedPageBreak/>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lastRenderedPageBreak/>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ListParagraph"/>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ListParagraph"/>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r>
              <w:rPr>
                <w:rFonts w:ascii="Arial" w:hAnsi="Arial" w:cs="Arial" w:hint="eastAsia"/>
                <w:bCs/>
                <w:szCs w:val="21"/>
                <w:lang w:val="en-GB"/>
              </w:rPr>
              <w:t>Ericssion.</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 xml:space="preserve">Sierra </w:t>
            </w:r>
            <w:r>
              <w:rPr>
                <w:rFonts w:ascii="Arial" w:hAnsi="Arial" w:cs="Arial"/>
                <w:bCs/>
                <w:szCs w:val="21"/>
              </w:rPr>
              <w:lastRenderedPageBreak/>
              <w:t>Wireless</w:t>
            </w:r>
          </w:p>
        </w:tc>
        <w:tc>
          <w:tcPr>
            <w:tcW w:w="8129" w:type="dxa"/>
            <w:shd w:val="clear" w:color="auto" w:fill="auto"/>
            <w:vAlign w:val="center"/>
          </w:tcPr>
          <w:p w14:paraId="55094548" w14:textId="78F30B0A" w:rsidR="00781D36" w:rsidRPr="00781D36" w:rsidRDefault="00B71CD2" w:rsidP="00B71CD2">
            <w:r>
              <w:lastRenderedPageBreak/>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w:t>
            </w:r>
            <w:r w:rsidRPr="00B71CD2">
              <w:lastRenderedPageBreak/>
              <w:t xml:space="preserve">error </w:t>
            </w:r>
            <w:r>
              <w:t xml:space="preserve">suggested by Ericsson maybe OK but this is a conservative value chosen to ensure that all UEs can meet this requirement nearly all the time (e.g. 99% of the time). Thus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std = 0.033). Alternatively, a fixed </w:t>
            </w:r>
            <w:r w:rsidR="00F2097E" w:rsidRPr="00B71CD2">
              <w:t xml:space="preserve">residual frequency error </w:t>
            </w:r>
            <w:r>
              <w:t>value could be chosen</w:t>
            </w:r>
            <w:r w:rsidR="00F2097E">
              <w:t xml:space="preserve"> but this would need to be &lt;&lt;0.1 PPM.</w:t>
            </w:r>
          </w:p>
        </w:tc>
      </w:tr>
    </w:tbl>
    <w:p w14:paraId="13983998" w14:textId="1B8DA91D" w:rsidR="00A54137" w:rsidRDefault="00A54137">
      <w:pPr>
        <w:rPr>
          <w:rFonts w:ascii="Arial" w:hAnsi="Arial" w:cs="Arial"/>
          <w:color w:val="002060"/>
          <w:szCs w:val="21"/>
          <w:lang w:val="en-GB"/>
        </w:rPr>
      </w:pPr>
    </w:p>
    <w:p w14:paraId="2D913032" w14:textId="77777777" w:rsidR="00DD3A40" w:rsidRDefault="00DD3A40" w:rsidP="00DD3A40">
      <w:pPr>
        <w:rPr>
          <w:rFonts w:ascii="Arial" w:eastAsia="宋体" w:hAnsi="Arial" w:cs="Arial"/>
          <w:b/>
          <w:bCs/>
          <w:kern w:val="0"/>
          <w:szCs w:val="21"/>
          <w:lang w:val="en-GB"/>
        </w:rPr>
      </w:pPr>
      <w:r>
        <w:rPr>
          <w:rFonts w:ascii="Arial" w:hAnsi="Arial" w:cs="Arial"/>
          <w:b/>
          <w:bCs/>
          <w:szCs w:val="21"/>
          <w:highlight w:val="yellow"/>
          <w:lang w:val="en-GB"/>
        </w:rPr>
        <w:t>Proposal 7:</w:t>
      </w:r>
    </w:p>
    <w:p w14:paraId="35F2B559" w14:textId="77777777" w:rsidR="00DD3A40" w:rsidRPr="00DB2B15" w:rsidRDefault="00DD3A40" w:rsidP="00DD3A40">
      <w:pPr>
        <w:pStyle w:val="ListParagraph"/>
        <w:numPr>
          <w:ilvl w:val="0"/>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rPr>
        <w:t>For joint channel estimation, to evaluate optimization of DMRS location/granularity in time domain.</w:t>
      </w:r>
    </w:p>
    <w:p w14:paraId="3B23E03D" w14:textId="77777777" w:rsidR="00DD3A40" w:rsidRPr="00DB2B15" w:rsidRDefault="00DD3A40" w:rsidP="00DD3A40">
      <w:pPr>
        <w:pStyle w:val="ListParagraph"/>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+/- 0.1 ppm is considered as upper bound for residual frequency error.</w:t>
      </w:r>
    </w:p>
    <w:p w14:paraId="6A5E53E2" w14:textId="77777777" w:rsidR="00DD3A40" w:rsidRPr="00DB2B15" w:rsidRDefault="00DD3A40" w:rsidP="00DD3A40">
      <w:pPr>
        <w:pStyle w:val="ListParagraph"/>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Further discuss additional values and/or evaluation refinements</w:t>
      </w:r>
    </w:p>
    <w:p w14:paraId="249D8F0F" w14:textId="2714C91F" w:rsidR="00DD3A40" w:rsidRDefault="00DD3A40">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DD3A40" w14:paraId="355CFD40" w14:textId="77777777" w:rsidTr="008369B8">
        <w:trPr>
          <w:trHeight w:val="409"/>
        </w:trPr>
        <w:tc>
          <w:tcPr>
            <w:tcW w:w="1348" w:type="dxa"/>
            <w:shd w:val="clear" w:color="auto" w:fill="auto"/>
            <w:vAlign w:val="center"/>
          </w:tcPr>
          <w:p w14:paraId="06F15726" w14:textId="77777777" w:rsidR="00DD3A40" w:rsidRDefault="00DD3A40" w:rsidP="008369B8">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A8FF74" w14:textId="77777777" w:rsidR="00DD3A40" w:rsidRDefault="00DD3A40" w:rsidP="008369B8">
            <w:pPr>
              <w:jc w:val="center"/>
              <w:rPr>
                <w:rFonts w:ascii="Arial" w:hAnsi="Arial" w:cs="Arial"/>
                <w:b/>
                <w:szCs w:val="21"/>
                <w:lang w:val="en-GB"/>
              </w:rPr>
            </w:pPr>
            <w:r>
              <w:rPr>
                <w:rFonts w:ascii="Arial" w:hAnsi="Arial" w:cs="Arial"/>
                <w:b/>
                <w:szCs w:val="21"/>
                <w:lang w:val="en-GB"/>
              </w:rPr>
              <w:t>Comments</w:t>
            </w:r>
          </w:p>
        </w:tc>
      </w:tr>
      <w:tr w:rsidR="00DD3A40" w14:paraId="09B324F3" w14:textId="77777777" w:rsidTr="008369B8">
        <w:trPr>
          <w:trHeight w:val="409"/>
        </w:trPr>
        <w:tc>
          <w:tcPr>
            <w:tcW w:w="1348" w:type="dxa"/>
            <w:shd w:val="clear" w:color="auto" w:fill="auto"/>
            <w:vAlign w:val="center"/>
          </w:tcPr>
          <w:p w14:paraId="4B6C60AF" w14:textId="55440F58" w:rsidR="00DD3A40" w:rsidRDefault="00845C9D" w:rsidP="008369B8">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651560CA" w14:textId="77777777"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Support the proposal.</w:t>
            </w:r>
          </w:p>
          <w:p w14:paraId="6CDD87E4" w14:textId="3280573B"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We think this can be one way to have some initial simulations at RAN1#104-bis, at least reflecting Rel-15/16 UEs.  As we commented in email, i</w:t>
            </w:r>
            <w:r w:rsidRPr="00845C9D">
              <w:rPr>
                <w:rFonts w:ascii="Arial" w:eastAsia="MS Mincho" w:hAnsi="Arial" w:cs="Arial"/>
                <w:bCs/>
                <w:szCs w:val="21"/>
                <w:lang w:val="en-GB" w:eastAsia="ja-JP"/>
              </w:rPr>
              <w:t xml:space="preserve">t would be really good to get more values specifically for UEs supporting joint channel estimation from UE vendors, since they may perform better than the Rel-15/16 requirements.  </w:t>
            </w:r>
            <w:r>
              <w:rPr>
                <w:rFonts w:ascii="Arial" w:eastAsia="MS Mincho" w:hAnsi="Arial" w:cs="Arial"/>
                <w:bCs/>
                <w:szCs w:val="21"/>
                <w:lang w:val="en-GB" w:eastAsia="ja-JP"/>
              </w:rPr>
              <w:t>Sierra’s comments are appreciated, where it seems we might need to refine the frequency error model.  We may need to consider particular configurations or refinements to the methodology as well.</w:t>
            </w:r>
          </w:p>
        </w:tc>
      </w:tr>
      <w:tr w:rsidR="00DD3A40" w14:paraId="564CEEB7" w14:textId="77777777" w:rsidTr="008369B8">
        <w:trPr>
          <w:trHeight w:val="419"/>
        </w:trPr>
        <w:tc>
          <w:tcPr>
            <w:tcW w:w="1348" w:type="dxa"/>
            <w:shd w:val="clear" w:color="auto" w:fill="auto"/>
            <w:vAlign w:val="center"/>
          </w:tcPr>
          <w:p w14:paraId="389D4024" w14:textId="61C12A90" w:rsidR="00DD3A40" w:rsidRDefault="00AB124F" w:rsidP="008369B8">
            <w:pPr>
              <w:jc w:val="center"/>
              <w:rPr>
                <w:rFonts w:ascii="Arial" w:hAnsi="Arial" w:cs="Arial"/>
                <w:bCs/>
                <w:szCs w:val="21"/>
                <w:lang w:val="en-GB"/>
              </w:rPr>
            </w:pPr>
            <w:r>
              <w:rPr>
                <w:rFonts w:ascii="Arial" w:hAnsi="Arial" w:cs="Arial" w:hint="eastAsia"/>
                <w:bCs/>
                <w:szCs w:val="21"/>
                <w:lang w:val="en-GB"/>
              </w:rPr>
              <w:t>v</w:t>
            </w:r>
            <w:r>
              <w:rPr>
                <w:rFonts w:ascii="Arial" w:hAnsi="Arial" w:cs="Arial"/>
                <w:bCs/>
                <w:szCs w:val="21"/>
                <w:lang w:val="en-GB"/>
              </w:rPr>
              <w:t>ivo</w:t>
            </w:r>
          </w:p>
        </w:tc>
        <w:tc>
          <w:tcPr>
            <w:tcW w:w="8129" w:type="dxa"/>
            <w:shd w:val="clear" w:color="auto" w:fill="auto"/>
            <w:vAlign w:val="center"/>
          </w:tcPr>
          <w:p w14:paraId="40F01B1D" w14:textId="3FA6EBBB" w:rsidR="00DD3A40" w:rsidRDefault="00AB124F" w:rsidP="00AB124F">
            <w:pPr>
              <w:rPr>
                <w:rFonts w:ascii="Arial" w:hAnsi="Arial" w:cs="Arial"/>
                <w:bCs/>
                <w:szCs w:val="21"/>
                <w:lang w:val="en-GB"/>
              </w:rPr>
            </w:pPr>
            <w:r>
              <w:rPr>
                <w:rFonts w:ascii="Arial" w:hAnsi="Arial" w:cs="Arial"/>
                <w:bCs/>
                <w:szCs w:val="21"/>
                <w:lang w:val="en-GB"/>
              </w:rPr>
              <w:t>Looks good i</w:t>
            </w:r>
            <w:r>
              <w:rPr>
                <w:rFonts w:ascii="Arial" w:hAnsi="Arial" w:cs="Arial" w:hint="eastAsia"/>
                <w:bCs/>
                <w:szCs w:val="21"/>
                <w:lang w:val="en-GB"/>
              </w:rPr>
              <w:t xml:space="preserve">n </w:t>
            </w:r>
            <w:r>
              <w:rPr>
                <w:rFonts w:ascii="Arial" w:hAnsi="Arial" w:cs="Arial"/>
                <w:bCs/>
                <w:szCs w:val="21"/>
                <w:lang w:val="en-GB"/>
              </w:rPr>
              <w:t>general, however RAN1 should avoid treading into RAN4 expertise, we should avoid unrealistic assumptions at UE in order to show the gain. Maybe it is good idea to seek RAN4 advice on this issue.</w:t>
            </w:r>
          </w:p>
        </w:tc>
      </w:tr>
      <w:tr w:rsidR="00DD3A40" w14:paraId="242B6E61" w14:textId="77777777" w:rsidTr="008369B8">
        <w:trPr>
          <w:trHeight w:val="419"/>
        </w:trPr>
        <w:tc>
          <w:tcPr>
            <w:tcW w:w="1348" w:type="dxa"/>
            <w:shd w:val="clear" w:color="auto" w:fill="auto"/>
            <w:vAlign w:val="center"/>
          </w:tcPr>
          <w:p w14:paraId="606ED1BF" w14:textId="197BD036" w:rsidR="00DD3A40" w:rsidRPr="0013755E" w:rsidRDefault="0013755E" w:rsidP="008369B8">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Sa</w:t>
            </w:r>
            <w:r>
              <w:rPr>
                <w:rFonts w:ascii="Arial" w:eastAsia="Malgun Gothic" w:hAnsi="Arial" w:cs="Arial"/>
                <w:bCs/>
                <w:szCs w:val="21"/>
                <w:lang w:val="en-GB" w:eastAsia="ko-KR"/>
              </w:rPr>
              <w:t>msung</w:t>
            </w:r>
          </w:p>
        </w:tc>
        <w:tc>
          <w:tcPr>
            <w:tcW w:w="8129" w:type="dxa"/>
            <w:shd w:val="clear" w:color="auto" w:fill="auto"/>
            <w:vAlign w:val="center"/>
          </w:tcPr>
          <w:p w14:paraId="2E9D1807" w14:textId="77777777" w:rsidR="0013755E" w:rsidRPr="0013755E" w:rsidRDefault="0013755E" w:rsidP="0013755E">
            <w:pPr>
              <w:rPr>
                <w:rFonts w:ascii="Arial" w:hAnsi="Arial" w:cs="Arial"/>
                <w:bCs/>
                <w:szCs w:val="21"/>
                <w:lang w:val="en-GB"/>
              </w:rPr>
            </w:pPr>
            <w:r w:rsidRPr="0013755E">
              <w:rPr>
                <w:rFonts w:ascii="Arial" w:hAnsi="Arial" w:cs="Arial"/>
                <w:bCs/>
                <w:szCs w:val="21"/>
                <w:lang w:val="en-GB"/>
              </w:rPr>
              <w:t xml:space="preserve">RAN4 is still working on the phase continuity and its tolerance while this is not limited to DMRS optimization but more generic for joint channel estimation. We think RAN4 investigation should be taken into account as well. </w:t>
            </w:r>
          </w:p>
          <w:p w14:paraId="03EC8809" w14:textId="5BAF8B20" w:rsidR="00DD3A40" w:rsidRDefault="0013755E" w:rsidP="0013755E">
            <w:pPr>
              <w:rPr>
                <w:rFonts w:ascii="Arial" w:hAnsi="Arial" w:cs="Arial"/>
                <w:bCs/>
                <w:szCs w:val="21"/>
                <w:lang w:val="en-GB"/>
              </w:rPr>
            </w:pPr>
            <w:r w:rsidRPr="0013755E">
              <w:rPr>
                <w:rFonts w:ascii="Arial" w:hAnsi="Arial" w:cs="Arial"/>
                <w:bCs/>
                <w:szCs w:val="21"/>
                <w:lang w:val="en-GB"/>
              </w:rPr>
              <w:t>In these regards, we don’t see the need for proposal 7. Previous agreement noting the impairments would suffice for now.</w:t>
            </w:r>
          </w:p>
        </w:tc>
      </w:tr>
      <w:tr w:rsidR="005A0689" w:rsidRPr="005A0689" w14:paraId="0015124A" w14:textId="77777777" w:rsidTr="008369B8">
        <w:trPr>
          <w:trHeight w:val="419"/>
        </w:trPr>
        <w:tc>
          <w:tcPr>
            <w:tcW w:w="1348" w:type="dxa"/>
            <w:shd w:val="clear" w:color="auto" w:fill="auto"/>
            <w:vAlign w:val="center"/>
          </w:tcPr>
          <w:p w14:paraId="5B899ED6" w14:textId="5DBE8049" w:rsidR="005A0689" w:rsidRPr="005A0689" w:rsidRDefault="005A0689" w:rsidP="008369B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99F51E1" w14:textId="4C4BD594" w:rsidR="005A0689" w:rsidRPr="005A0689" w:rsidRDefault="005A0689" w:rsidP="0013755E">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agree to the comment from SierraWireless and Ericsson. We need the frequency error model (fixed or normal/uniform distribution) according to the past experience of the results difference among companies in eMTC/NB-IoT.</w:t>
            </w:r>
          </w:p>
        </w:tc>
      </w:tr>
      <w:tr w:rsidR="008369B8" w:rsidRPr="005A0689" w14:paraId="53FA823B" w14:textId="77777777" w:rsidTr="008369B8">
        <w:trPr>
          <w:trHeight w:val="419"/>
        </w:trPr>
        <w:tc>
          <w:tcPr>
            <w:tcW w:w="1348" w:type="dxa"/>
            <w:shd w:val="clear" w:color="auto" w:fill="auto"/>
            <w:vAlign w:val="center"/>
          </w:tcPr>
          <w:p w14:paraId="4D17837F" w14:textId="5A88F3C1" w:rsidR="008369B8" w:rsidRPr="0062090E" w:rsidRDefault="0062090E" w:rsidP="008369B8">
            <w:pPr>
              <w:jc w:val="center"/>
              <w:rPr>
                <w:rFonts w:ascii="Arial" w:hAnsi="Arial" w:cs="Arial" w:hint="eastAsia"/>
                <w:bCs/>
                <w:szCs w:val="21"/>
                <w:lang w:val="en-GB"/>
              </w:rPr>
            </w:pPr>
            <w:r>
              <w:rPr>
                <w:rFonts w:ascii="Arial" w:hAnsi="Arial" w:cs="Arial" w:hint="eastAsia"/>
                <w:bCs/>
                <w:szCs w:val="21"/>
                <w:lang w:val="en-GB"/>
              </w:rPr>
              <w:t>H</w:t>
            </w:r>
            <w:r>
              <w:rPr>
                <w:rFonts w:ascii="Arial" w:hAnsi="Arial" w:cs="Arial"/>
                <w:bCs/>
                <w:szCs w:val="21"/>
                <w:lang w:val="en-GB"/>
              </w:rPr>
              <w:t>uawei, HiSilicon</w:t>
            </w:r>
          </w:p>
        </w:tc>
        <w:tc>
          <w:tcPr>
            <w:tcW w:w="8129" w:type="dxa"/>
            <w:shd w:val="clear" w:color="auto" w:fill="auto"/>
            <w:vAlign w:val="center"/>
          </w:tcPr>
          <w:p w14:paraId="79C1889C" w14:textId="77777777" w:rsidR="008369B8" w:rsidRDefault="0062090E" w:rsidP="0013755E">
            <w:pPr>
              <w:rPr>
                <w:rFonts w:ascii="Arial" w:hAnsi="Arial" w:cs="Arial"/>
                <w:bCs/>
                <w:szCs w:val="21"/>
                <w:lang w:val="en-GB"/>
              </w:rPr>
            </w:pPr>
            <w:r>
              <w:rPr>
                <w:rFonts w:ascii="Arial" w:hAnsi="Arial" w:cs="Arial" w:hint="eastAsia"/>
                <w:bCs/>
                <w:szCs w:val="21"/>
                <w:lang w:val="en-GB"/>
              </w:rPr>
              <w:t>A</w:t>
            </w:r>
            <w:r>
              <w:rPr>
                <w:rFonts w:ascii="Arial" w:hAnsi="Arial" w:cs="Arial"/>
                <w:bCs/>
                <w:szCs w:val="21"/>
                <w:lang w:val="en-GB"/>
              </w:rPr>
              <w:t>ll NRs UEs have to comply with the following RAN4 requirements.</w:t>
            </w:r>
          </w:p>
          <w:p w14:paraId="758BE769" w14:textId="287EEA57" w:rsidR="005D091B" w:rsidRDefault="005D091B" w:rsidP="0013755E">
            <w:pPr>
              <w:rPr>
                <w:rFonts w:ascii="Arial" w:hAnsi="Arial" w:cs="Arial"/>
                <w:bCs/>
                <w:szCs w:val="21"/>
                <w:lang w:val="en-GB"/>
              </w:rPr>
            </w:pPr>
            <w:r>
              <w:rPr>
                <w:rFonts w:ascii="Arial" w:hAnsi="Arial" w:cs="Arial"/>
                <w:bCs/>
                <w:szCs w:val="21"/>
                <w:lang w:val="en-GB"/>
              </w:rPr>
              <w:t>TS 38.101-1</w:t>
            </w:r>
            <w:r w:rsidR="001B25EA">
              <w:rPr>
                <w:rFonts w:ascii="Arial" w:hAnsi="Arial" w:cs="Arial"/>
                <w:bCs/>
                <w:szCs w:val="21"/>
                <w:lang w:val="en-GB"/>
              </w:rPr>
              <w:t>:</w:t>
            </w:r>
          </w:p>
          <w:p w14:paraId="26FE0537" w14:textId="77777777" w:rsidR="0062090E" w:rsidRPr="0062090E" w:rsidRDefault="0062090E" w:rsidP="0062090E">
            <w:pPr>
              <w:keepNext/>
              <w:keepLines/>
              <w:widowControl/>
              <w:spacing w:before="120" w:after="180" w:line="240" w:lineRule="auto"/>
              <w:jc w:val="left"/>
              <w:outlineLvl w:val="2"/>
              <w:rPr>
                <w:rFonts w:ascii="Arial" w:eastAsia="MS Mincho" w:hAnsi="Arial" w:cs="Times New Roman"/>
                <w:i/>
                <w:kern w:val="0"/>
                <w:sz w:val="28"/>
                <w:szCs w:val="20"/>
                <w:lang w:val="en-GB" w:eastAsia="en-US"/>
              </w:rPr>
            </w:pPr>
            <w:bookmarkStart w:id="2" w:name="_Toc21344327"/>
            <w:bookmarkStart w:id="3" w:name="_Toc29801813"/>
            <w:bookmarkStart w:id="4" w:name="_Toc29802237"/>
            <w:bookmarkStart w:id="5" w:name="_Toc29802862"/>
            <w:bookmarkStart w:id="6" w:name="_Toc36107604"/>
            <w:bookmarkStart w:id="7" w:name="_Toc37251370"/>
            <w:bookmarkStart w:id="8" w:name="_Toc45888234"/>
            <w:bookmarkStart w:id="9" w:name="_Toc45888833"/>
            <w:r w:rsidRPr="0062090E">
              <w:rPr>
                <w:rFonts w:ascii="Arial" w:eastAsia="MS Mincho" w:hAnsi="Arial" w:cs="Times New Roman"/>
                <w:i/>
                <w:kern w:val="0"/>
                <w:sz w:val="28"/>
                <w:szCs w:val="20"/>
                <w:lang w:val="en-GB" w:eastAsia="en-US"/>
              </w:rPr>
              <w:lastRenderedPageBreak/>
              <w:t>6.4.1</w:t>
            </w:r>
            <w:r w:rsidRPr="0062090E">
              <w:rPr>
                <w:rFonts w:ascii="Arial" w:eastAsia="MS Mincho" w:hAnsi="Arial" w:cs="Times New Roman"/>
                <w:i/>
                <w:kern w:val="0"/>
                <w:sz w:val="28"/>
                <w:szCs w:val="20"/>
                <w:lang w:val="en-GB" w:eastAsia="en-US"/>
              </w:rPr>
              <w:tab/>
              <w:t>Frequency error</w:t>
            </w:r>
            <w:bookmarkEnd w:id="2"/>
            <w:bookmarkEnd w:id="3"/>
            <w:bookmarkEnd w:id="4"/>
            <w:bookmarkEnd w:id="5"/>
            <w:bookmarkEnd w:id="6"/>
            <w:bookmarkEnd w:id="7"/>
            <w:bookmarkEnd w:id="8"/>
            <w:bookmarkEnd w:id="9"/>
          </w:p>
          <w:p w14:paraId="7A1AC8BF" w14:textId="77777777" w:rsidR="0062090E" w:rsidRPr="0062090E" w:rsidRDefault="0062090E" w:rsidP="0062090E">
            <w:pPr>
              <w:widowControl/>
              <w:spacing w:after="180" w:line="240" w:lineRule="auto"/>
              <w:jc w:val="left"/>
              <w:rPr>
                <w:rFonts w:ascii="Times New Roman" w:eastAsia="MS Mincho" w:hAnsi="Times New Roman" w:cs="Times New Roman"/>
                <w:i/>
                <w:kern w:val="0"/>
                <w:sz w:val="20"/>
                <w:szCs w:val="20"/>
                <w:lang w:val="en-GB" w:eastAsia="en-US"/>
              </w:rPr>
            </w:pPr>
            <w:r w:rsidRPr="0062090E">
              <w:rPr>
                <w:rFonts w:ascii="Times New Roman" w:eastAsia="MS Mincho" w:hAnsi="Times New Roman" w:cs="Times New Roman"/>
                <w:i/>
                <w:kern w:val="0"/>
                <w:sz w:val="20"/>
                <w:szCs w:val="20"/>
                <w:lang w:val="en-GB" w:eastAsia="en-US"/>
              </w:rPr>
              <w:t xml:space="preserve">The UE basic measurement interval of modulated carrier frequency is 1 UL slot. The mean value of basic measurements of UE modulated carrier frequency shall be accurate to within ± 0.1 PPM </w:t>
            </w:r>
            <w:r w:rsidRPr="0062090E">
              <w:rPr>
                <w:rFonts w:ascii="Times New Roman" w:eastAsia="MS Mincho" w:hAnsi="Times New Roman" w:cs="Times New Roman"/>
                <w:i/>
                <w:kern w:val="0"/>
                <w:sz w:val="20"/>
                <w:szCs w:val="20"/>
                <w:highlight w:val="yellow"/>
                <w:lang w:val="en-GB" w:eastAsia="en-US"/>
              </w:rPr>
              <w:t>observed over a period of 1 ms of</w:t>
            </w:r>
            <w:r w:rsidRPr="0062090E">
              <w:rPr>
                <w:rFonts w:ascii="Times New Roman" w:eastAsia="MS Mincho" w:hAnsi="Times New Roman" w:cs="Times New Roman"/>
                <w:i/>
                <w:kern w:val="0"/>
                <w:sz w:val="20"/>
                <w:szCs w:val="20"/>
                <w:lang w:val="en-GB" w:eastAsia="en-US"/>
              </w:rPr>
              <w:t xml:space="preserve"> cumulated measurement intervals compared to the carrier frequency received from the NR Node B.</w:t>
            </w:r>
          </w:p>
          <w:p w14:paraId="781D80BB" w14:textId="77777777" w:rsidR="0062090E" w:rsidRDefault="0062090E" w:rsidP="0013755E">
            <w:pPr>
              <w:rPr>
                <w:rFonts w:ascii="Arial" w:hAnsi="Arial" w:cs="Arial"/>
                <w:bCs/>
                <w:szCs w:val="21"/>
                <w:lang w:val="en-GB"/>
              </w:rPr>
            </w:pPr>
          </w:p>
          <w:p w14:paraId="08662FF9" w14:textId="3B4D7F72" w:rsidR="00D32A18" w:rsidRDefault="0062090E" w:rsidP="0013755E">
            <w:pPr>
              <w:rPr>
                <w:rFonts w:ascii="Arial" w:hAnsi="Arial" w:cs="Arial"/>
                <w:bCs/>
                <w:szCs w:val="21"/>
                <w:lang w:val="en-GB"/>
              </w:rPr>
            </w:pPr>
            <w:r>
              <w:rPr>
                <w:rFonts w:ascii="Arial" w:hAnsi="Arial" w:cs="Arial"/>
                <w:bCs/>
                <w:szCs w:val="21"/>
                <w:lang w:val="en-GB"/>
              </w:rPr>
              <w:t xml:space="preserve">In every 1ms UL </w:t>
            </w:r>
            <w:r w:rsidR="00D32A18">
              <w:rPr>
                <w:rFonts w:ascii="Arial" w:hAnsi="Arial" w:cs="Arial"/>
                <w:bCs/>
                <w:szCs w:val="21"/>
                <w:lang w:val="en-GB"/>
              </w:rPr>
              <w:t xml:space="preserve">transmission, </w:t>
            </w:r>
            <w:r w:rsidR="00D32A18" w:rsidRPr="0062090E">
              <w:rPr>
                <w:rFonts w:ascii="Times New Roman" w:eastAsia="MS Mincho" w:hAnsi="Times New Roman" w:cs="Times New Roman"/>
                <w:kern w:val="0"/>
                <w:sz w:val="20"/>
                <w:szCs w:val="20"/>
                <w:lang w:val="en-GB" w:eastAsia="en-US"/>
              </w:rPr>
              <w:t>±</w:t>
            </w:r>
            <w:r w:rsidR="00D32A18">
              <w:rPr>
                <w:rFonts w:ascii="Times New Roman" w:eastAsia="MS Mincho" w:hAnsi="Times New Roman" w:cs="Times New Roman"/>
                <w:kern w:val="0"/>
                <w:sz w:val="20"/>
                <w:szCs w:val="20"/>
                <w:lang w:val="en-GB" w:eastAsia="en-US"/>
              </w:rPr>
              <w:t xml:space="preserve"> </w:t>
            </w:r>
            <w:r w:rsidR="00D32A18">
              <w:rPr>
                <w:rFonts w:ascii="Arial" w:hAnsi="Arial" w:cs="Arial"/>
                <w:bCs/>
                <w:szCs w:val="21"/>
                <w:lang w:val="en-GB"/>
              </w:rPr>
              <w:t>0.1 PPM is the minimum requirement</w:t>
            </w:r>
            <w:r w:rsidR="001B25EA">
              <w:rPr>
                <w:rFonts w:ascii="Arial" w:hAnsi="Arial" w:cs="Arial"/>
                <w:bCs/>
                <w:szCs w:val="21"/>
                <w:lang w:val="en-GB"/>
              </w:rPr>
              <w:t xml:space="preserve"> for all UEs</w:t>
            </w:r>
            <w:r w:rsidR="00D32A18">
              <w:rPr>
                <w:rFonts w:ascii="Arial" w:hAnsi="Arial" w:cs="Arial"/>
                <w:bCs/>
                <w:szCs w:val="21"/>
                <w:lang w:val="en-GB"/>
              </w:rPr>
              <w:t xml:space="preserve">. Therefore, such </w:t>
            </w:r>
            <w:r w:rsidR="00D32A18" w:rsidRPr="0062090E">
              <w:rPr>
                <w:rFonts w:ascii="Times New Roman" w:eastAsia="MS Mincho" w:hAnsi="Times New Roman" w:cs="Times New Roman"/>
                <w:kern w:val="0"/>
                <w:sz w:val="20"/>
                <w:szCs w:val="20"/>
                <w:lang w:val="en-GB" w:eastAsia="en-US"/>
              </w:rPr>
              <w:t>±</w:t>
            </w:r>
            <w:r w:rsidR="00D32A18">
              <w:rPr>
                <w:rFonts w:ascii="Times New Roman" w:eastAsia="MS Mincho" w:hAnsi="Times New Roman" w:cs="Times New Roman"/>
                <w:kern w:val="0"/>
                <w:sz w:val="20"/>
                <w:szCs w:val="20"/>
                <w:lang w:val="en-GB" w:eastAsia="en-US"/>
              </w:rPr>
              <w:t xml:space="preserve"> </w:t>
            </w:r>
            <w:r w:rsidR="00D32A18">
              <w:rPr>
                <w:rFonts w:ascii="Arial" w:hAnsi="Arial" w:cs="Arial"/>
                <w:bCs/>
                <w:szCs w:val="21"/>
                <w:lang w:val="en-GB"/>
              </w:rPr>
              <w:t>0.1 PPM</w:t>
            </w:r>
            <w:r w:rsidR="00D32A18">
              <w:rPr>
                <w:rFonts w:ascii="Arial" w:hAnsi="Arial" w:cs="Arial"/>
                <w:bCs/>
                <w:szCs w:val="21"/>
                <w:lang w:val="en-GB"/>
              </w:rPr>
              <w:t xml:space="preserve"> is not a conservative value but the maximum frequency error that a NR UE is allowed to have.</w:t>
            </w:r>
          </w:p>
          <w:p w14:paraId="1A1C8A83" w14:textId="66BF7285" w:rsidR="0062090E" w:rsidRPr="0062090E" w:rsidRDefault="00D32A18" w:rsidP="0013755E">
            <w:pPr>
              <w:rPr>
                <w:rFonts w:ascii="Arial" w:hAnsi="Arial" w:cs="Arial" w:hint="eastAsia"/>
                <w:bCs/>
                <w:szCs w:val="21"/>
                <w:lang w:val="en-GB"/>
              </w:rPr>
            </w:pPr>
            <w:r>
              <w:rPr>
                <w:rFonts w:ascii="Arial" w:hAnsi="Arial" w:cs="Arial"/>
                <w:bCs/>
                <w:szCs w:val="21"/>
                <w:lang w:val="en-GB"/>
              </w:rPr>
              <w:t xml:space="preserve">A simple model with uniform distribution seems a good starting point.  </w:t>
            </w:r>
            <w:bookmarkStart w:id="10" w:name="_GoBack"/>
            <w:bookmarkEnd w:id="10"/>
          </w:p>
        </w:tc>
      </w:tr>
    </w:tbl>
    <w:p w14:paraId="6E6A5D62" w14:textId="77777777" w:rsidR="00DD3A40" w:rsidRPr="005A0689" w:rsidRDefault="00DD3A40">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ListParagraph"/>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lastRenderedPageBreak/>
        <w:t>FFS: whether the window should be specified</w:t>
      </w:r>
    </w:p>
    <w:p w14:paraId="3AAC7F95"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ListParagraph"/>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ListParagraph"/>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ListParagraph"/>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ListParagraph"/>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ListParagraph"/>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ListParagraph"/>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lastRenderedPageBreak/>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ListParagraph"/>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1"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R1-2100097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R1-2100174</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R1-2100233</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R1-2100399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R1-2100459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R1-2100558</w:t>
      </w:r>
      <w:r>
        <w:rPr>
          <w:rStyle w:val="Hyperlink"/>
          <w:rFonts w:ascii="Times New Roman" w:eastAsia="宋体" w:hAnsi="Times New Roman" w:cs="Times New Roman"/>
          <w:color w:val="auto"/>
          <w:kern w:val="0"/>
          <w:sz w:val="20"/>
          <w:szCs w:val="20"/>
          <w:u w:val="none"/>
          <w:lang w:eastAsia="en-US"/>
        </w:rPr>
        <w:tab/>
        <w:t>Potential techniques for PUSCH coverage enhancement</w:t>
      </w:r>
      <w:r>
        <w:rPr>
          <w:rStyle w:val="Hyperlink"/>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R1-2100667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R1-2100714</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R1-2100733</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R1-2100797</w:t>
      </w:r>
      <w:r>
        <w:rPr>
          <w:rStyle w:val="Hyperlink"/>
          <w:rFonts w:ascii="Times New Roman" w:eastAsia="宋体" w:hAnsi="Times New Roman" w:cs="Times New Roman"/>
          <w:color w:val="auto"/>
          <w:kern w:val="0"/>
          <w:sz w:val="20"/>
          <w:szCs w:val="20"/>
          <w:u w:val="none"/>
          <w:lang w:eastAsia="en-US"/>
        </w:rPr>
        <w:tab/>
        <w:t>Considerations on joint channel estimation over multi-PUSCH</w:t>
      </w:r>
      <w:r>
        <w:rPr>
          <w:rStyle w:val="Hyperlink"/>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R1-2100917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R1-2101003</w:t>
      </w:r>
      <w:r>
        <w:rPr>
          <w:rStyle w:val="Hyperlink"/>
          <w:rFonts w:ascii="Times New Roman" w:eastAsia="宋体" w:hAnsi="Times New Roman" w:cs="Times New Roman"/>
          <w:color w:val="auto"/>
          <w:kern w:val="0"/>
          <w:sz w:val="20"/>
          <w:szCs w:val="20"/>
          <w:u w:val="none"/>
          <w:lang w:eastAsia="en-US"/>
        </w:rPr>
        <w:tab/>
        <w:t>Enhancements for DM-RS bundling for multiple PUSCH</w:t>
      </w:r>
      <w:r>
        <w:rPr>
          <w:rStyle w:val="Hyperlink"/>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R1-2101020</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R1-2101057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R1-2101223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R1-2101329</w:t>
      </w:r>
      <w:r>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Pr>
          <w:rStyle w:val="Hyperlink"/>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R1-2101479</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R1-2101522</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R1-2101547</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R1-2101643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R1-2101681</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R1-2101712</w:t>
      </w:r>
      <w:r>
        <w:rPr>
          <w:rStyle w:val="Hyperlink"/>
          <w:rFonts w:ascii="Times New Roman" w:eastAsia="宋体" w:hAnsi="Times New Roman" w:cs="Times New Roman"/>
          <w:color w:val="auto"/>
          <w:kern w:val="0"/>
          <w:sz w:val="20"/>
          <w:szCs w:val="20"/>
          <w:u w:val="none"/>
          <w:lang w:eastAsia="en-US"/>
        </w:rPr>
        <w:tab/>
        <w:t>Joint channel estimation for PUSCH coverage enhancements</w:t>
      </w:r>
      <w:r>
        <w:rPr>
          <w:rStyle w:val="Hyperlink"/>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lastRenderedPageBreak/>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BodyText"/>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Huawei/</w:t>
            </w:r>
            <w:r>
              <w:rPr>
                <w:rStyle w:val="Hyperlink"/>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1: Cross-slot channel estimation can be applied to PUSCHs in consecutive slots satisfying the requirement of power consistence and phase </w:t>
            </w:r>
            <w:r>
              <w:rPr>
                <w:rFonts w:ascii="Times New Roman" w:hAnsi="Times New Roman" w:cs="Times New Roman"/>
                <w:b/>
                <w:i/>
                <w:szCs w:val="21"/>
              </w:rPr>
              <w:lastRenderedPageBreak/>
              <w:t>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 xml:space="preserve">more </w:t>
            </w:r>
            <w:r>
              <w:rPr>
                <w:rFonts w:ascii="Times New Roman" w:hAnsi="Times New Roman" w:cs="Times New Roman"/>
                <w:szCs w:val="21"/>
              </w:rPr>
              <w:lastRenderedPageBreak/>
              <w:t>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Intel/</w:t>
            </w:r>
            <w:r>
              <w:rPr>
                <w:rStyle w:val="Hyperlink"/>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LG/</w:t>
            </w:r>
            <w:r>
              <w:rPr>
                <w:rStyle w:val="Hyperlink"/>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hint="eastAsia"/>
                <w:color w:val="auto"/>
                <w:kern w:val="0"/>
                <w:szCs w:val="21"/>
                <w:u w:val="none"/>
              </w:rPr>
              <w:t>R</w:t>
            </w:r>
            <w:r>
              <w:rPr>
                <w:rStyle w:val="Hyperlink"/>
                <w:rFonts w:ascii="Times New Roman" w:eastAsia="宋体" w:hAnsi="Times New Roman" w:cs="Times New Roman"/>
                <w:color w:val="auto"/>
                <w:kern w:val="0"/>
                <w:szCs w:val="21"/>
                <w:u w:val="none"/>
              </w:rPr>
              <w:t>1-2100733/</w:t>
            </w:r>
            <w:r>
              <w:rPr>
                <w:rStyle w:val="Hyperlink"/>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w:t>
            </w:r>
            <w:r>
              <w:rPr>
                <w:rFonts w:ascii="Times New Roman" w:hAnsi="Times New Roman" w:cs="Times New Roman"/>
                <w:b/>
                <w:bCs/>
                <w:szCs w:val="21"/>
              </w:rPr>
              <w:lastRenderedPageBreak/>
              <w:t xml:space="preserve">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 w:val="20"/>
                <w:szCs w:val="20"/>
                <w:u w:val="none"/>
                <w:lang w:eastAsia="en-US"/>
              </w:rPr>
              <w:lastRenderedPageBreak/>
              <w:t>Spreadtrum</w:t>
            </w:r>
            <w:r>
              <w:rPr>
                <w:rStyle w:val="Hyperlink"/>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 xml:space="preserve">Proposal 2: For supporting joint channel estimation with DM-RS bundling across multiple PUSCHs for coverage enhancements in NR Rel-17, UE should be </w:t>
            </w:r>
            <w:r>
              <w:rPr>
                <w:rFonts w:ascii="Times New Roman" w:hAnsi="Times New Roman" w:cs="Times New Roman"/>
                <w:b/>
                <w:bCs/>
                <w:i/>
                <w:iCs/>
                <w:szCs w:val="21"/>
              </w:rPr>
              <w:lastRenderedPageBreak/>
              <w:t>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w:t>
            </w:r>
            <w:r>
              <w:rPr>
                <w:rFonts w:ascii="Times New Roman" w:hAnsi="Times New Roman" w:cs="Times New Roman"/>
                <w:b/>
                <w:i/>
              </w:rPr>
              <w:lastRenderedPageBreak/>
              <w:t xml:space="preserve">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w:t>
            </w:r>
            <w:r>
              <w:rPr>
                <w:rFonts w:ascii="Times New Roman" w:hAnsi="Times New Roman" w:cs="Times New Roman"/>
                <w:b/>
                <w:bCs/>
                <w:color w:val="000000"/>
                <w:szCs w:val="21"/>
              </w:rPr>
              <w:lastRenderedPageBreak/>
              <w:t>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gNB ensures the same UE transmission power for the PUSCH transmission </w:t>
            </w:r>
            <w:r>
              <w:rPr>
                <w:rFonts w:ascii="Times New Roman" w:hAnsi="Times New Roman" w:cs="Times New Roman"/>
                <w:b/>
                <w:szCs w:val="21"/>
              </w:rPr>
              <w:lastRenderedPageBreak/>
              <w:t>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8369B8">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8369B8">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8369B8">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 xml:space="preserve">For inter-slot frequency hopping with inter-slot bundling to enable joint channel estimation, a concept of inter-window frequency hopping should be </w:t>
              </w:r>
              <w:r w:rsidR="0087306B">
                <w:rPr>
                  <w:rStyle w:val="Hyperlink"/>
                  <w:rFonts w:ascii="Times New Roman" w:hAnsi="Times New Roman"/>
                  <w:b/>
                  <w:bCs/>
                  <w:sz w:val="21"/>
                  <w:szCs w:val="21"/>
                </w:rPr>
                <w:lastRenderedPageBreak/>
                <w:t>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76460" w14:textId="77777777" w:rsidR="00B05C4C" w:rsidRDefault="00B05C4C" w:rsidP="004E6341">
      <w:pPr>
        <w:spacing w:after="0" w:line="240" w:lineRule="auto"/>
      </w:pPr>
      <w:r>
        <w:separator/>
      </w:r>
    </w:p>
  </w:endnote>
  <w:endnote w:type="continuationSeparator" w:id="0">
    <w:p w14:paraId="29753446" w14:textId="77777777" w:rsidR="00B05C4C" w:rsidRDefault="00B05C4C"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08E5" w14:textId="77777777" w:rsidR="00B05C4C" w:rsidRDefault="00B05C4C" w:rsidP="004E6341">
      <w:pPr>
        <w:spacing w:after="0" w:line="240" w:lineRule="auto"/>
      </w:pPr>
      <w:r>
        <w:separator/>
      </w:r>
    </w:p>
  </w:footnote>
  <w:footnote w:type="continuationSeparator" w:id="0">
    <w:p w14:paraId="189762AC" w14:textId="77777777" w:rsidR="00B05C4C" w:rsidRDefault="00B05C4C"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689"/>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69B8"/>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2B15"/>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3A40"/>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F4663BF7-EEB2-493D-B416-993D83B1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91</Pages>
  <Words>28256</Words>
  <Characters>161061</Characters>
  <Application>Microsoft Office Word</Application>
  <DocSecurity>0</DocSecurity>
  <Lines>1342</Lines>
  <Paragraphs>377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cp:lastModifiedBy>
  <cp:revision>6</cp:revision>
  <dcterms:created xsi:type="dcterms:W3CDTF">2021-02-05T04:42:00Z</dcterms:created>
  <dcterms:modified xsi:type="dcterms:W3CDTF">2021-02-05T09:21:00Z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