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415A5E">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415A5E">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415A5E">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415A5E">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415A5E">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415A5E">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415A5E">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415A5E">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15A5E">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415A5E">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15A5E">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415A5E">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415A5E">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415A5E">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415A5E">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415A5E">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415A5E">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415A5E">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415A5E">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415A5E">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415A5E">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15A5E">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15A5E">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415A5E">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15A5E">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415A5E">
        <w:tc>
          <w:tcPr>
            <w:tcW w:w="1479" w:type="dxa"/>
            <w:shd w:val="clear" w:color="auto" w:fill="D9D9D9" w:themeFill="background1" w:themeFillShade="D9"/>
          </w:tcPr>
          <w:p w14:paraId="3A23DF1B" w14:textId="77777777" w:rsidR="00415A5E" w:rsidRDefault="00415A5E" w:rsidP="00A80F0F">
            <w:pPr>
              <w:rPr>
                <w:b/>
                <w:bCs/>
              </w:rPr>
            </w:pPr>
            <w:r>
              <w:rPr>
                <w:b/>
                <w:bCs/>
              </w:rPr>
              <w:t>Company</w:t>
            </w:r>
          </w:p>
        </w:tc>
        <w:tc>
          <w:tcPr>
            <w:tcW w:w="1372" w:type="dxa"/>
            <w:shd w:val="clear" w:color="auto" w:fill="D9D9D9" w:themeFill="background1" w:themeFillShade="D9"/>
          </w:tcPr>
          <w:p w14:paraId="0D32F324" w14:textId="77777777" w:rsidR="00415A5E" w:rsidRDefault="00415A5E" w:rsidP="00A80F0F">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A80F0F">
            <w:pPr>
              <w:rPr>
                <w:b/>
                <w:bCs/>
              </w:rPr>
            </w:pPr>
            <w:r>
              <w:rPr>
                <w:b/>
                <w:bCs/>
              </w:rPr>
              <w:t>Comments</w:t>
            </w:r>
          </w:p>
        </w:tc>
      </w:tr>
      <w:tr w:rsidR="00415A5E" w:rsidRPr="00CB648B" w14:paraId="40C03606" w14:textId="77777777" w:rsidTr="00415A5E">
        <w:tc>
          <w:tcPr>
            <w:tcW w:w="1479" w:type="dxa"/>
          </w:tcPr>
          <w:p w14:paraId="1C909CA7" w14:textId="77777777" w:rsidR="00415A5E" w:rsidRDefault="00415A5E" w:rsidP="00A80F0F">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A80F0F">
            <w:pPr>
              <w:tabs>
                <w:tab w:val="left" w:pos="551"/>
              </w:tabs>
              <w:rPr>
                <w:rFonts w:eastAsia="Yu Mincho"/>
                <w:lang w:val="en-US" w:eastAsia="ja-JP"/>
              </w:rPr>
            </w:pPr>
          </w:p>
        </w:tc>
        <w:tc>
          <w:tcPr>
            <w:tcW w:w="6780" w:type="dxa"/>
            <w:gridSpan w:val="2"/>
          </w:tcPr>
          <w:p w14:paraId="29C560D3" w14:textId="77777777" w:rsidR="00415A5E" w:rsidRDefault="00415A5E" w:rsidP="00A80F0F">
            <w:pPr>
              <w:spacing w:after="0"/>
            </w:pPr>
            <w:r>
              <w:rPr>
                <w:lang w:val="en-US"/>
              </w:rPr>
              <w:t>Based on the received responses, the following proposal can be considered.</w:t>
            </w:r>
          </w:p>
          <w:p w14:paraId="14205340" w14:textId="77777777" w:rsidR="00415A5E" w:rsidRDefault="00415A5E" w:rsidP="00A80F0F">
            <w:pPr>
              <w:spacing w:after="0"/>
            </w:pPr>
          </w:p>
          <w:p w14:paraId="37267480" w14:textId="77777777" w:rsidR="00415A5E" w:rsidRDefault="00415A5E" w:rsidP="00A80F0F">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A80F0F">
            <w:pPr>
              <w:numPr>
                <w:ilvl w:val="1"/>
                <w:numId w:val="34"/>
              </w:numPr>
              <w:spacing w:after="0"/>
            </w:pPr>
            <w:r>
              <w:t>Option 1: Proper RF-retuning for RedCap</w:t>
            </w:r>
          </w:p>
          <w:p w14:paraId="611C5BBC" w14:textId="77777777" w:rsidR="00415A5E" w:rsidRPr="00955092" w:rsidRDefault="00415A5E" w:rsidP="00A80F0F">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A80F0F">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A80F0F">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A80F0F">
            <w:pPr>
              <w:spacing w:after="0"/>
            </w:pPr>
          </w:p>
        </w:tc>
      </w:tr>
      <w:tr w:rsidR="00415A5E" w:rsidRPr="008E469A" w14:paraId="51C81EF8" w14:textId="77777777" w:rsidTr="00415A5E">
        <w:trPr>
          <w:trHeight w:val="360"/>
        </w:trPr>
        <w:tc>
          <w:tcPr>
            <w:tcW w:w="1479" w:type="dxa"/>
          </w:tcPr>
          <w:p w14:paraId="28E5484B" w14:textId="77777777" w:rsidR="00415A5E" w:rsidRDefault="00415A5E" w:rsidP="00A80F0F">
            <w:pPr>
              <w:tabs>
                <w:tab w:val="left" w:pos="551"/>
              </w:tabs>
              <w:rPr>
                <w:rFonts w:eastAsia="Yu Mincho"/>
                <w:lang w:val="en-US" w:eastAsia="ja-JP"/>
              </w:rPr>
            </w:pPr>
          </w:p>
        </w:tc>
        <w:tc>
          <w:tcPr>
            <w:tcW w:w="1372" w:type="dxa"/>
          </w:tcPr>
          <w:p w14:paraId="7F131CFD" w14:textId="77777777" w:rsidR="00415A5E" w:rsidRDefault="00415A5E" w:rsidP="00A80F0F">
            <w:pPr>
              <w:tabs>
                <w:tab w:val="left" w:pos="551"/>
              </w:tabs>
              <w:rPr>
                <w:rFonts w:eastAsia="Yu Mincho"/>
                <w:lang w:val="en-US" w:eastAsia="ja-JP"/>
              </w:rPr>
            </w:pPr>
          </w:p>
        </w:tc>
        <w:tc>
          <w:tcPr>
            <w:tcW w:w="6780" w:type="dxa"/>
            <w:gridSpan w:val="2"/>
          </w:tcPr>
          <w:p w14:paraId="1B4C1B83" w14:textId="77777777" w:rsidR="00415A5E" w:rsidRPr="008E469A" w:rsidRDefault="00415A5E" w:rsidP="00A80F0F">
            <w:pPr>
              <w:tabs>
                <w:tab w:val="left" w:pos="551"/>
              </w:tabs>
              <w:rPr>
                <w:rFonts w:eastAsia="Yu Mincho"/>
                <w:lang w:val="en-US" w:eastAsia="ja-JP"/>
              </w:rPr>
            </w:pPr>
          </w:p>
        </w:tc>
      </w:tr>
      <w:tr w:rsidR="00415A5E" w:rsidRPr="008E469A" w14:paraId="4B23627C" w14:textId="77777777" w:rsidTr="00415A5E">
        <w:tc>
          <w:tcPr>
            <w:tcW w:w="1479" w:type="dxa"/>
          </w:tcPr>
          <w:p w14:paraId="0558FAA5" w14:textId="77777777" w:rsidR="00415A5E" w:rsidRDefault="00415A5E" w:rsidP="00A80F0F">
            <w:pPr>
              <w:tabs>
                <w:tab w:val="left" w:pos="551"/>
              </w:tabs>
              <w:rPr>
                <w:rFonts w:eastAsia="Yu Mincho"/>
                <w:lang w:val="en-US" w:eastAsia="ja-JP"/>
              </w:rPr>
            </w:pPr>
          </w:p>
        </w:tc>
        <w:tc>
          <w:tcPr>
            <w:tcW w:w="1372" w:type="dxa"/>
          </w:tcPr>
          <w:p w14:paraId="41944AA8" w14:textId="77777777" w:rsidR="00415A5E" w:rsidRDefault="00415A5E" w:rsidP="00A80F0F">
            <w:pPr>
              <w:tabs>
                <w:tab w:val="left" w:pos="551"/>
              </w:tabs>
              <w:rPr>
                <w:rFonts w:eastAsia="Yu Mincho"/>
                <w:lang w:val="en-US" w:eastAsia="ja-JP"/>
              </w:rPr>
            </w:pPr>
          </w:p>
        </w:tc>
        <w:tc>
          <w:tcPr>
            <w:tcW w:w="6780" w:type="dxa"/>
            <w:gridSpan w:val="2"/>
          </w:tcPr>
          <w:p w14:paraId="7100EA24" w14:textId="77777777" w:rsidR="00415A5E" w:rsidRPr="008E469A" w:rsidRDefault="00415A5E" w:rsidP="00A80F0F">
            <w:pPr>
              <w:tabs>
                <w:tab w:val="left" w:pos="551"/>
              </w:tabs>
              <w:rPr>
                <w:rFonts w:eastAsia="Yu Mincho"/>
                <w:lang w:val="en-US" w:eastAsia="ja-JP"/>
              </w:rPr>
            </w:pPr>
          </w:p>
        </w:tc>
      </w:tr>
      <w:tr w:rsidR="00415A5E" w:rsidRPr="008E469A" w14:paraId="5EE01111" w14:textId="77777777" w:rsidTr="00415A5E">
        <w:tc>
          <w:tcPr>
            <w:tcW w:w="1479" w:type="dxa"/>
          </w:tcPr>
          <w:p w14:paraId="27860F2F" w14:textId="77777777" w:rsidR="00415A5E" w:rsidRDefault="00415A5E" w:rsidP="00A80F0F">
            <w:pPr>
              <w:tabs>
                <w:tab w:val="left" w:pos="551"/>
              </w:tabs>
              <w:rPr>
                <w:rFonts w:eastAsia="Yu Mincho"/>
                <w:lang w:val="en-US" w:eastAsia="ja-JP"/>
              </w:rPr>
            </w:pPr>
          </w:p>
        </w:tc>
        <w:tc>
          <w:tcPr>
            <w:tcW w:w="1372" w:type="dxa"/>
          </w:tcPr>
          <w:p w14:paraId="5D013346" w14:textId="77777777" w:rsidR="00415A5E" w:rsidRDefault="00415A5E" w:rsidP="00A80F0F">
            <w:pPr>
              <w:tabs>
                <w:tab w:val="left" w:pos="551"/>
              </w:tabs>
              <w:rPr>
                <w:rFonts w:eastAsia="Yu Mincho"/>
                <w:lang w:val="en-US" w:eastAsia="ja-JP"/>
              </w:rPr>
            </w:pPr>
          </w:p>
        </w:tc>
        <w:tc>
          <w:tcPr>
            <w:tcW w:w="6780" w:type="dxa"/>
            <w:gridSpan w:val="2"/>
          </w:tcPr>
          <w:p w14:paraId="1218DCEC" w14:textId="77777777" w:rsidR="00415A5E" w:rsidRPr="008E469A" w:rsidRDefault="00415A5E" w:rsidP="00A80F0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lastRenderedPageBreak/>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lastRenderedPageBreak/>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A80F0F">
            <w:pPr>
              <w:rPr>
                <w:b/>
                <w:bCs/>
              </w:rPr>
            </w:pPr>
            <w:r>
              <w:rPr>
                <w:b/>
                <w:bCs/>
              </w:rPr>
              <w:t>Company</w:t>
            </w:r>
          </w:p>
        </w:tc>
        <w:tc>
          <w:tcPr>
            <w:tcW w:w="1372" w:type="dxa"/>
            <w:shd w:val="clear" w:color="auto" w:fill="D9D9D9" w:themeFill="background1" w:themeFillShade="D9"/>
          </w:tcPr>
          <w:p w14:paraId="6BF0222D" w14:textId="77777777" w:rsidR="004B455F" w:rsidRDefault="004B455F" w:rsidP="00A80F0F">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A80F0F">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A80F0F">
            <w:pPr>
              <w:tabs>
                <w:tab w:val="left" w:pos="551"/>
              </w:tabs>
              <w:rPr>
                <w:rFonts w:eastAsia="Yu Mincho"/>
                <w:lang w:val="en-US" w:eastAsia="ja-JP"/>
              </w:rPr>
            </w:pPr>
          </w:p>
        </w:tc>
        <w:tc>
          <w:tcPr>
            <w:tcW w:w="6780" w:type="dxa"/>
            <w:gridSpan w:val="2"/>
          </w:tcPr>
          <w:p w14:paraId="11B32122" w14:textId="77777777" w:rsidR="004B455F" w:rsidRDefault="004B455F" w:rsidP="00A80F0F">
            <w:pPr>
              <w:spacing w:after="0"/>
            </w:pPr>
            <w:r>
              <w:rPr>
                <w:lang w:val="en-US"/>
              </w:rPr>
              <w:t>Based on the received responses, the following proposal can be considered.</w:t>
            </w:r>
          </w:p>
          <w:p w14:paraId="200AC8C1" w14:textId="77777777" w:rsidR="004B455F" w:rsidRDefault="004B455F" w:rsidP="00A80F0F">
            <w:pPr>
              <w:spacing w:after="0"/>
            </w:pPr>
          </w:p>
          <w:p w14:paraId="58C45ED1" w14:textId="77777777" w:rsidR="004B455F" w:rsidRDefault="004B455F" w:rsidP="00A80F0F">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A80F0F">
            <w:pPr>
              <w:numPr>
                <w:ilvl w:val="1"/>
                <w:numId w:val="34"/>
              </w:numPr>
              <w:spacing w:after="0"/>
            </w:pPr>
            <w:r>
              <w:t>Option 1: Proper RF-retuning for RedCap</w:t>
            </w:r>
          </w:p>
          <w:p w14:paraId="7DCEB868" w14:textId="77777777" w:rsidR="004B455F" w:rsidRDefault="004B455F" w:rsidP="00A80F0F">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A80F0F">
            <w:pPr>
              <w:numPr>
                <w:ilvl w:val="1"/>
                <w:numId w:val="34"/>
              </w:numPr>
              <w:spacing w:after="0"/>
            </w:pPr>
            <w:r>
              <w:t>Option 3: Separate PUCCH configuration for Redcap (e.g., disabled, or different frequency hopping)</w:t>
            </w:r>
          </w:p>
          <w:p w14:paraId="5CD3F128" w14:textId="77777777" w:rsidR="004B455F" w:rsidRPr="009A491F" w:rsidRDefault="004B455F" w:rsidP="00A80F0F">
            <w:pPr>
              <w:spacing w:after="0"/>
            </w:pPr>
          </w:p>
        </w:tc>
      </w:tr>
      <w:tr w:rsidR="004B455F" w:rsidRPr="008E469A" w14:paraId="26C2F97D" w14:textId="77777777" w:rsidTr="004B455F">
        <w:trPr>
          <w:trHeight w:val="360"/>
        </w:trPr>
        <w:tc>
          <w:tcPr>
            <w:tcW w:w="1479" w:type="dxa"/>
          </w:tcPr>
          <w:p w14:paraId="68C8AEA1" w14:textId="77777777" w:rsidR="004B455F" w:rsidRDefault="004B455F" w:rsidP="00A80F0F">
            <w:pPr>
              <w:tabs>
                <w:tab w:val="left" w:pos="551"/>
              </w:tabs>
              <w:rPr>
                <w:rFonts w:eastAsia="Yu Mincho"/>
                <w:lang w:val="en-US" w:eastAsia="ja-JP"/>
              </w:rPr>
            </w:pPr>
          </w:p>
        </w:tc>
        <w:tc>
          <w:tcPr>
            <w:tcW w:w="1372" w:type="dxa"/>
          </w:tcPr>
          <w:p w14:paraId="75E03977" w14:textId="77777777" w:rsidR="004B455F" w:rsidRDefault="004B455F" w:rsidP="00A80F0F">
            <w:pPr>
              <w:tabs>
                <w:tab w:val="left" w:pos="551"/>
              </w:tabs>
              <w:rPr>
                <w:rFonts w:eastAsia="Yu Mincho"/>
                <w:lang w:val="en-US" w:eastAsia="ja-JP"/>
              </w:rPr>
            </w:pPr>
          </w:p>
        </w:tc>
        <w:tc>
          <w:tcPr>
            <w:tcW w:w="6780" w:type="dxa"/>
            <w:gridSpan w:val="2"/>
          </w:tcPr>
          <w:p w14:paraId="36098869" w14:textId="77777777" w:rsidR="004B455F" w:rsidRPr="008E469A" w:rsidRDefault="004B455F" w:rsidP="00A80F0F">
            <w:pPr>
              <w:tabs>
                <w:tab w:val="left" w:pos="551"/>
              </w:tabs>
              <w:rPr>
                <w:rFonts w:eastAsia="Yu Mincho"/>
                <w:lang w:val="en-US" w:eastAsia="ja-JP"/>
              </w:rPr>
            </w:pPr>
          </w:p>
        </w:tc>
      </w:tr>
      <w:tr w:rsidR="004B455F" w:rsidRPr="008E469A" w14:paraId="0983934C" w14:textId="77777777" w:rsidTr="004B455F">
        <w:tc>
          <w:tcPr>
            <w:tcW w:w="1479" w:type="dxa"/>
          </w:tcPr>
          <w:p w14:paraId="20EA05FB" w14:textId="77777777" w:rsidR="004B455F" w:rsidRDefault="004B455F" w:rsidP="00A80F0F">
            <w:pPr>
              <w:tabs>
                <w:tab w:val="left" w:pos="551"/>
              </w:tabs>
              <w:rPr>
                <w:rFonts w:eastAsia="Yu Mincho"/>
                <w:lang w:val="en-US" w:eastAsia="ja-JP"/>
              </w:rPr>
            </w:pPr>
          </w:p>
        </w:tc>
        <w:tc>
          <w:tcPr>
            <w:tcW w:w="1372" w:type="dxa"/>
          </w:tcPr>
          <w:p w14:paraId="4CF4324B" w14:textId="77777777" w:rsidR="004B455F" w:rsidRDefault="004B455F" w:rsidP="00A80F0F">
            <w:pPr>
              <w:tabs>
                <w:tab w:val="left" w:pos="551"/>
              </w:tabs>
              <w:rPr>
                <w:rFonts w:eastAsia="Yu Mincho"/>
                <w:lang w:val="en-US" w:eastAsia="ja-JP"/>
              </w:rPr>
            </w:pPr>
          </w:p>
        </w:tc>
        <w:tc>
          <w:tcPr>
            <w:tcW w:w="6780" w:type="dxa"/>
            <w:gridSpan w:val="2"/>
          </w:tcPr>
          <w:p w14:paraId="4F3A455B" w14:textId="77777777" w:rsidR="004B455F" w:rsidRPr="008E469A" w:rsidRDefault="004B455F" w:rsidP="00A80F0F">
            <w:pPr>
              <w:tabs>
                <w:tab w:val="left" w:pos="551"/>
              </w:tabs>
              <w:rPr>
                <w:rFonts w:eastAsia="Yu Mincho"/>
                <w:lang w:val="en-US" w:eastAsia="ja-JP"/>
              </w:rPr>
            </w:pPr>
          </w:p>
        </w:tc>
      </w:tr>
      <w:tr w:rsidR="004B455F" w:rsidRPr="008E469A" w14:paraId="6FCF4409" w14:textId="77777777" w:rsidTr="004B455F">
        <w:tc>
          <w:tcPr>
            <w:tcW w:w="1479" w:type="dxa"/>
          </w:tcPr>
          <w:p w14:paraId="17B678EB" w14:textId="77777777" w:rsidR="004B455F" w:rsidRDefault="004B455F" w:rsidP="00A80F0F">
            <w:pPr>
              <w:tabs>
                <w:tab w:val="left" w:pos="551"/>
              </w:tabs>
              <w:rPr>
                <w:rFonts w:eastAsia="Yu Mincho"/>
                <w:lang w:val="en-US" w:eastAsia="ja-JP"/>
              </w:rPr>
            </w:pPr>
          </w:p>
        </w:tc>
        <w:tc>
          <w:tcPr>
            <w:tcW w:w="1372" w:type="dxa"/>
          </w:tcPr>
          <w:p w14:paraId="4E498C96" w14:textId="77777777" w:rsidR="004B455F" w:rsidRDefault="004B455F" w:rsidP="00A80F0F">
            <w:pPr>
              <w:tabs>
                <w:tab w:val="left" w:pos="551"/>
              </w:tabs>
              <w:rPr>
                <w:rFonts w:eastAsia="Yu Mincho"/>
                <w:lang w:val="en-US" w:eastAsia="ja-JP"/>
              </w:rPr>
            </w:pPr>
          </w:p>
        </w:tc>
        <w:tc>
          <w:tcPr>
            <w:tcW w:w="6780" w:type="dxa"/>
            <w:gridSpan w:val="2"/>
          </w:tcPr>
          <w:p w14:paraId="76A33FB0" w14:textId="77777777" w:rsidR="004B455F" w:rsidRPr="008E469A" w:rsidRDefault="004B455F" w:rsidP="00A80F0F">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lastRenderedPageBreak/>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lastRenderedPageBreak/>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lastRenderedPageBreak/>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A80F0F">
        <w:tc>
          <w:tcPr>
            <w:tcW w:w="1479" w:type="dxa"/>
            <w:shd w:val="clear" w:color="auto" w:fill="D9D9D9" w:themeFill="background1" w:themeFillShade="D9"/>
          </w:tcPr>
          <w:p w14:paraId="1BB0E5CD" w14:textId="77777777" w:rsidR="004B455F" w:rsidRDefault="004B455F" w:rsidP="00A80F0F">
            <w:pPr>
              <w:rPr>
                <w:b/>
                <w:bCs/>
              </w:rPr>
            </w:pPr>
            <w:r>
              <w:rPr>
                <w:b/>
                <w:bCs/>
              </w:rPr>
              <w:t>Company</w:t>
            </w:r>
          </w:p>
        </w:tc>
        <w:tc>
          <w:tcPr>
            <w:tcW w:w="1372" w:type="dxa"/>
            <w:shd w:val="clear" w:color="auto" w:fill="D9D9D9" w:themeFill="background1" w:themeFillShade="D9"/>
          </w:tcPr>
          <w:p w14:paraId="6C6CAAE2" w14:textId="77777777" w:rsidR="004B455F" w:rsidRDefault="004B455F" w:rsidP="00A80F0F">
            <w:pPr>
              <w:rPr>
                <w:b/>
                <w:bCs/>
              </w:rPr>
            </w:pPr>
            <w:r>
              <w:rPr>
                <w:b/>
                <w:bCs/>
              </w:rPr>
              <w:t>Y/N</w:t>
            </w:r>
          </w:p>
        </w:tc>
        <w:tc>
          <w:tcPr>
            <w:tcW w:w="6783" w:type="dxa"/>
            <w:shd w:val="clear" w:color="auto" w:fill="D9D9D9" w:themeFill="background1" w:themeFillShade="D9"/>
          </w:tcPr>
          <w:p w14:paraId="1FE48FE6" w14:textId="77777777" w:rsidR="004B455F" w:rsidRDefault="004B455F" w:rsidP="00A80F0F">
            <w:pPr>
              <w:rPr>
                <w:b/>
                <w:bCs/>
              </w:rPr>
            </w:pPr>
            <w:r>
              <w:rPr>
                <w:b/>
                <w:bCs/>
              </w:rPr>
              <w:t>Comments</w:t>
            </w:r>
          </w:p>
        </w:tc>
      </w:tr>
      <w:tr w:rsidR="004B455F" w:rsidRPr="00CB648B" w14:paraId="1B6DAEF5" w14:textId="77777777" w:rsidTr="00A80F0F">
        <w:tc>
          <w:tcPr>
            <w:tcW w:w="1479" w:type="dxa"/>
          </w:tcPr>
          <w:p w14:paraId="74A56A0F"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A80F0F">
            <w:pPr>
              <w:tabs>
                <w:tab w:val="left" w:pos="551"/>
              </w:tabs>
              <w:rPr>
                <w:rFonts w:eastAsia="Yu Mincho"/>
                <w:lang w:val="en-US" w:eastAsia="ja-JP"/>
              </w:rPr>
            </w:pPr>
          </w:p>
        </w:tc>
        <w:tc>
          <w:tcPr>
            <w:tcW w:w="6783" w:type="dxa"/>
          </w:tcPr>
          <w:p w14:paraId="7BA252A4" w14:textId="77777777" w:rsidR="004B455F" w:rsidRPr="00FD66B2" w:rsidRDefault="004B455F" w:rsidP="00A80F0F">
            <w:pPr>
              <w:spacing w:after="0"/>
            </w:pPr>
            <w:r w:rsidRPr="00FD66B2">
              <w:rPr>
                <w:lang w:val="en-US"/>
              </w:rPr>
              <w:t>Based on the received responses, the following proposal can be considered.</w:t>
            </w:r>
          </w:p>
          <w:p w14:paraId="1D494894" w14:textId="77777777" w:rsidR="004B455F" w:rsidRPr="00FD66B2" w:rsidRDefault="004B455F" w:rsidP="00A80F0F">
            <w:pPr>
              <w:spacing w:after="0"/>
            </w:pPr>
          </w:p>
          <w:p w14:paraId="1F7217EE" w14:textId="77777777" w:rsidR="004B455F" w:rsidRPr="00FD66B2" w:rsidRDefault="004B455F" w:rsidP="00A80F0F">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A80F0F">
            <w:pPr>
              <w:spacing w:after="0"/>
            </w:pPr>
          </w:p>
        </w:tc>
      </w:tr>
      <w:tr w:rsidR="004B455F" w:rsidRPr="008E469A" w14:paraId="4FD0F549" w14:textId="77777777" w:rsidTr="00A80F0F">
        <w:trPr>
          <w:trHeight w:val="360"/>
        </w:trPr>
        <w:tc>
          <w:tcPr>
            <w:tcW w:w="1479" w:type="dxa"/>
          </w:tcPr>
          <w:p w14:paraId="59DDBDC6" w14:textId="77777777" w:rsidR="004B455F" w:rsidRDefault="004B455F" w:rsidP="00A80F0F">
            <w:pPr>
              <w:tabs>
                <w:tab w:val="left" w:pos="551"/>
              </w:tabs>
              <w:rPr>
                <w:rFonts w:eastAsia="Yu Mincho"/>
                <w:lang w:val="en-US" w:eastAsia="ja-JP"/>
              </w:rPr>
            </w:pPr>
          </w:p>
        </w:tc>
        <w:tc>
          <w:tcPr>
            <w:tcW w:w="1372" w:type="dxa"/>
          </w:tcPr>
          <w:p w14:paraId="2AC64DCA" w14:textId="77777777" w:rsidR="004B455F" w:rsidRDefault="004B455F" w:rsidP="00A80F0F">
            <w:pPr>
              <w:tabs>
                <w:tab w:val="left" w:pos="551"/>
              </w:tabs>
              <w:rPr>
                <w:rFonts w:eastAsia="Yu Mincho"/>
                <w:lang w:val="en-US" w:eastAsia="ja-JP"/>
              </w:rPr>
            </w:pPr>
          </w:p>
        </w:tc>
        <w:tc>
          <w:tcPr>
            <w:tcW w:w="6783" w:type="dxa"/>
          </w:tcPr>
          <w:p w14:paraId="14A317B3" w14:textId="77777777" w:rsidR="004B455F" w:rsidRPr="008E469A" w:rsidRDefault="004B455F" w:rsidP="00A80F0F">
            <w:pPr>
              <w:tabs>
                <w:tab w:val="left" w:pos="551"/>
              </w:tabs>
              <w:rPr>
                <w:rFonts w:eastAsia="Yu Mincho"/>
                <w:lang w:val="en-US" w:eastAsia="ja-JP"/>
              </w:rPr>
            </w:pPr>
          </w:p>
        </w:tc>
      </w:tr>
      <w:tr w:rsidR="004B455F" w:rsidRPr="008E469A" w14:paraId="3315696E" w14:textId="77777777" w:rsidTr="00A80F0F">
        <w:tc>
          <w:tcPr>
            <w:tcW w:w="1479" w:type="dxa"/>
          </w:tcPr>
          <w:p w14:paraId="1E5EC165" w14:textId="77777777" w:rsidR="004B455F" w:rsidRDefault="004B455F" w:rsidP="00A80F0F">
            <w:pPr>
              <w:tabs>
                <w:tab w:val="left" w:pos="551"/>
              </w:tabs>
              <w:rPr>
                <w:rFonts w:eastAsia="Yu Mincho"/>
                <w:lang w:val="en-US" w:eastAsia="ja-JP"/>
              </w:rPr>
            </w:pPr>
          </w:p>
        </w:tc>
        <w:tc>
          <w:tcPr>
            <w:tcW w:w="1372" w:type="dxa"/>
          </w:tcPr>
          <w:p w14:paraId="342E0B4C" w14:textId="77777777" w:rsidR="004B455F" w:rsidRDefault="004B455F" w:rsidP="00A80F0F">
            <w:pPr>
              <w:tabs>
                <w:tab w:val="left" w:pos="551"/>
              </w:tabs>
              <w:rPr>
                <w:rFonts w:eastAsia="Yu Mincho"/>
                <w:lang w:val="en-US" w:eastAsia="ja-JP"/>
              </w:rPr>
            </w:pPr>
          </w:p>
        </w:tc>
        <w:tc>
          <w:tcPr>
            <w:tcW w:w="6783" w:type="dxa"/>
          </w:tcPr>
          <w:p w14:paraId="657420A6" w14:textId="77777777" w:rsidR="004B455F" w:rsidRPr="008E469A" w:rsidRDefault="004B455F" w:rsidP="00A80F0F">
            <w:pPr>
              <w:tabs>
                <w:tab w:val="left" w:pos="551"/>
              </w:tabs>
              <w:rPr>
                <w:rFonts w:eastAsia="Yu Mincho"/>
                <w:lang w:val="en-US" w:eastAsia="ja-JP"/>
              </w:rPr>
            </w:pPr>
          </w:p>
        </w:tc>
      </w:tr>
      <w:tr w:rsidR="004B455F" w:rsidRPr="008E469A" w14:paraId="0353692F" w14:textId="77777777" w:rsidTr="00A80F0F">
        <w:tc>
          <w:tcPr>
            <w:tcW w:w="1479" w:type="dxa"/>
          </w:tcPr>
          <w:p w14:paraId="577A74BB" w14:textId="77777777" w:rsidR="004B455F" w:rsidRDefault="004B455F" w:rsidP="00A80F0F">
            <w:pPr>
              <w:tabs>
                <w:tab w:val="left" w:pos="551"/>
              </w:tabs>
              <w:rPr>
                <w:rFonts w:eastAsia="Yu Mincho"/>
                <w:lang w:val="en-US" w:eastAsia="ja-JP"/>
              </w:rPr>
            </w:pPr>
          </w:p>
        </w:tc>
        <w:tc>
          <w:tcPr>
            <w:tcW w:w="1372" w:type="dxa"/>
          </w:tcPr>
          <w:p w14:paraId="0FDD06A0" w14:textId="77777777" w:rsidR="004B455F" w:rsidRDefault="004B455F" w:rsidP="00A80F0F">
            <w:pPr>
              <w:tabs>
                <w:tab w:val="left" w:pos="551"/>
              </w:tabs>
              <w:rPr>
                <w:rFonts w:eastAsia="Yu Mincho"/>
                <w:lang w:val="en-US" w:eastAsia="ja-JP"/>
              </w:rPr>
            </w:pPr>
          </w:p>
        </w:tc>
        <w:tc>
          <w:tcPr>
            <w:tcW w:w="6783" w:type="dxa"/>
          </w:tcPr>
          <w:p w14:paraId="2D53CFB0" w14:textId="77777777" w:rsidR="004B455F" w:rsidRPr="008E469A" w:rsidRDefault="004B455F" w:rsidP="00A80F0F">
            <w:pPr>
              <w:tabs>
                <w:tab w:val="left" w:pos="551"/>
              </w:tabs>
              <w:rPr>
                <w:rFonts w:eastAsia="Yu Mincho"/>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A80F0F">
        <w:tc>
          <w:tcPr>
            <w:tcW w:w="1479" w:type="dxa"/>
            <w:shd w:val="clear" w:color="auto" w:fill="D9D9D9" w:themeFill="background1" w:themeFillShade="D9"/>
          </w:tcPr>
          <w:p w14:paraId="6206852F" w14:textId="77777777" w:rsidR="00C71DAD" w:rsidRDefault="00C71DAD" w:rsidP="00A80F0F">
            <w:pPr>
              <w:rPr>
                <w:b/>
                <w:bCs/>
              </w:rPr>
            </w:pPr>
            <w:r>
              <w:rPr>
                <w:b/>
                <w:bCs/>
              </w:rPr>
              <w:t>Company</w:t>
            </w:r>
          </w:p>
        </w:tc>
        <w:tc>
          <w:tcPr>
            <w:tcW w:w="1372" w:type="dxa"/>
            <w:shd w:val="clear" w:color="auto" w:fill="D9D9D9" w:themeFill="background1" w:themeFillShade="D9"/>
          </w:tcPr>
          <w:p w14:paraId="2F303610" w14:textId="77777777" w:rsidR="00C71DAD" w:rsidRDefault="00C71DAD" w:rsidP="00A80F0F">
            <w:pPr>
              <w:rPr>
                <w:b/>
                <w:bCs/>
              </w:rPr>
            </w:pPr>
            <w:r>
              <w:rPr>
                <w:b/>
                <w:bCs/>
              </w:rPr>
              <w:t>Y/N</w:t>
            </w:r>
          </w:p>
        </w:tc>
        <w:tc>
          <w:tcPr>
            <w:tcW w:w="6783" w:type="dxa"/>
            <w:shd w:val="clear" w:color="auto" w:fill="D9D9D9" w:themeFill="background1" w:themeFillShade="D9"/>
          </w:tcPr>
          <w:p w14:paraId="6796E36B" w14:textId="77777777" w:rsidR="00C71DAD" w:rsidRDefault="00C71DAD" w:rsidP="00A80F0F">
            <w:pPr>
              <w:rPr>
                <w:b/>
                <w:bCs/>
              </w:rPr>
            </w:pPr>
            <w:r>
              <w:rPr>
                <w:b/>
                <w:bCs/>
              </w:rPr>
              <w:t>Comments</w:t>
            </w:r>
          </w:p>
        </w:tc>
      </w:tr>
      <w:tr w:rsidR="00C71DAD" w:rsidRPr="00CB648B" w14:paraId="581F202F" w14:textId="77777777" w:rsidTr="00A80F0F">
        <w:tc>
          <w:tcPr>
            <w:tcW w:w="1479" w:type="dxa"/>
          </w:tcPr>
          <w:p w14:paraId="5AB3B993" w14:textId="77777777" w:rsidR="00C71DAD" w:rsidRDefault="00C71DAD" w:rsidP="00A80F0F">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A80F0F">
            <w:pPr>
              <w:tabs>
                <w:tab w:val="left" w:pos="551"/>
              </w:tabs>
              <w:rPr>
                <w:rFonts w:eastAsia="Yu Mincho"/>
                <w:lang w:val="en-US" w:eastAsia="ja-JP"/>
              </w:rPr>
            </w:pPr>
          </w:p>
        </w:tc>
        <w:tc>
          <w:tcPr>
            <w:tcW w:w="6783" w:type="dxa"/>
          </w:tcPr>
          <w:p w14:paraId="146E3C74" w14:textId="77777777" w:rsidR="00C71DAD" w:rsidRPr="00FD66B2" w:rsidRDefault="00C71DAD" w:rsidP="00A80F0F">
            <w:pPr>
              <w:spacing w:after="0"/>
            </w:pPr>
            <w:r w:rsidRPr="00FD66B2">
              <w:rPr>
                <w:lang w:val="en-US"/>
              </w:rPr>
              <w:t>Based on the received responses, the following proposal can be considered.</w:t>
            </w:r>
          </w:p>
          <w:p w14:paraId="6411EC67" w14:textId="77777777" w:rsidR="00C71DAD" w:rsidRPr="00FD66B2" w:rsidRDefault="00C71DAD" w:rsidP="00A80F0F">
            <w:pPr>
              <w:spacing w:after="0"/>
            </w:pPr>
          </w:p>
          <w:p w14:paraId="1EA72973" w14:textId="77777777" w:rsidR="00C71DAD" w:rsidRPr="00FD66B2" w:rsidRDefault="00C71DAD" w:rsidP="00A80F0F">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ListParagraph"/>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ListParagraph"/>
              <w:numPr>
                <w:ilvl w:val="1"/>
                <w:numId w:val="45"/>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A80F0F">
            <w:pPr>
              <w:spacing w:after="0"/>
            </w:pPr>
          </w:p>
        </w:tc>
      </w:tr>
      <w:tr w:rsidR="00C71DAD" w:rsidRPr="008E469A" w14:paraId="3747C72E" w14:textId="77777777" w:rsidTr="00A80F0F">
        <w:trPr>
          <w:trHeight w:val="360"/>
        </w:trPr>
        <w:tc>
          <w:tcPr>
            <w:tcW w:w="1479" w:type="dxa"/>
          </w:tcPr>
          <w:p w14:paraId="3D228BE2" w14:textId="77777777" w:rsidR="00C71DAD" w:rsidRDefault="00C71DAD" w:rsidP="00A80F0F">
            <w:pPr>
              <w:tabs>
                <w:tab w:val="left" w:pos="551"/>
              </w:tabs>
              <w:rPr>
                <w:rFonts w:eastAsia="Yu Mincho"/>
                <w:lang w:val="en-US" w:eastAsia="ja-JP"/>
              </w:rPr>
            </w:pPr>
          </w:p>
        </w:tc>
        <w:tc>
          <w:tcPr>
            <w:tcW w:w="1372" w:type="dxa"/>
          </w:tcPr>
          <w:p w14:paraId="715D2AA6" w14:textId="77777777" w:rsidR="00C71DAD" w:rsidRDefault="00C71DAD" w:rsidP="00A80F0F">
            <w:pPr>
              <w:tabs>
                <w:tab w:val="left" w:pos="551"/>
              </w:tabs>
              <w:rPr>
                <w:rFonts w:eastAsia="Yu Mincho"/>
                <w:lang w:val="en-US" w:eastAsia="ja-JP"/>
              </w:rPr>
            </w:pPr>
          </w:p>
        </w:tc>
        <w:tc>
          <w:tcPr>
            <w:tcW w:w="6783" w:type="dxa"/>
          </w:tcPr>
          <w:p w14:paraId="1E3A226F" w14:textId="77777777" w:rsidR="00C71DAD" w:rsidRPr="008E469A" w:rsidRDefault="00C71DAD" w:rsidP="00A80F0F">
            <w:pPr>
              <w:tabs>
                <w:tab w:val="left" w:pos="551"/>
              </w:tabs>
              <w:rPr>
                <w:rFonts w:eastAsia="Yu Mincho"/>
                <w:lang w:val="en-US" w:eastAsia="ja-JP"/>
              </w:rPr>
            </w:pPr>
          </w:p>
        </w:tc>
      </w:tr>
      <w:tr w:rsidR="00C71DAD" w:rsidRPr="008E469A" w14:paraId="45BCCB30" w14:textId="77777777" w:rsidTr="00A80F0F">
        <w:tc>
          <w:tcPr>
            <w:tcW w:w="1479" w:type="dxa"/>
          </w:tcPr>
          <w:p w14:paraId="57B0F4CB" w14:textId="77777777" w:rsidR="00C71DAD" w:rsidRDefault="00C71DAD" w:rsidP="00A80F0F">
            <w:pPr>
              <w:tabs>
                <w:tab w:val="left" w:pos="551"/>
              </w:tabs>
              <w:rPr>
                <w:rFonts w:eastAsia="Yu Mincho"/>
                <w:lang w:val="en-US" w:eastAsia="ja-JP"/>
              </w:rPr>
            </w:pPr>
          </w:p>
        </w:tc>
        <w:tc>
          <w:tcPr>
            <w:tcW w:w="1372" w:type="dxa"/>
          </w:tcPr>
          <w:p w14:paraId="3AABFBB8" w14:textId="77777777" w:rsidR="00C71DAD" w:rsidRDefault="00C71DAD" w:rsidP="00A80F0F">
            <w:pPr>
              <w:tabs>
                <w:tab w:val="left" w:pos="551"/>
              </w:tabs>
              <w:rPr>
                <w:rFonts w:eastAsia="Yu Mincho"/>
                <w:lang w:val="en-US" w:eastAsia="ja-JP"/>
              </w:rPr>
            </w:pPr>
          </w:p>
        </w:tc>
        <w:tc>
          <w:tcPr>
            <w:tcW w:w="6783" w:type="dxa"/>
          </w:tcPr>
          <w:p w14:paraId="72E491DD" w14:textId="77777777" w:rsidR="00C71DAD" w:rsidRPr="008E469A" w:rsidRDefault="00C71DAD" w:rsidP="00A80F0F">
            <w:pPr>
              <w:tabs>
                <w:tab w:val="left" w:pos="551"/>
              </w:tabs>
              <w:rPr>
                <w:rFonts w:eastAsia="Yu Mincho"/>
                <w:lang w:val="en-US" w:eastAsia="ja-JP"/>
              </w:rPr>
            </w:pPr>
          </w:p>
        </w:tc>
      </w:tr>
      <w:tr w:rsidR="00C71DAD" w:rsidRPr="008E469A" w14:paraId="54446D37" w14:textId="77777777" w:rsidTr="00A80F0F">
        <w:tc>
          <w:tcPr>
            <w:tcW w:w="1479" w:type="dxa"/>
          </w:tcPr>
          <w:p w14:paraId="76CBCCAC" w14:textId="77777777" w:rsidR="00C71DAD" w:rsidRDefault="00C71DAD" w:rsidP="00A80F0F">
            <w:pPr>
              <w:tabs>
                <w:tab w:val="left" w:pos="551"/>
              </w:tabs>
              <w:rPr>
                <w:rFonts w:eastAsia="Yu Mincho"/>
                <w:lang w:val="en-US" w:eastAsia="ja-JP"/>
              </w:rPr>
            </w:pPr>
          </w:p>
        </w:tc>
        <w:tc>
          <w:tcPr>
            <w:tcW w:w="1372" w:type="dxa"/>
          </w:tcPr>
          <w:p w14:paraId="0377D355" w14:textId="77777777" w:rsidR="00C71DAD" w:rsidRDefault="00C71DAD" w:rsidP="00A80F0F">
            <w:pPr>
              <w:tabs>
                <w:tab w:val="left" w:pos="551"/>
              </w:tabs>
              <w:rPr>
                <w:rFonts w:eastAsia="Yu Mincho"/>
                <w:lang w:val="en-US" w:eastAsia="ja-JP"/>
              </w:rPr>
            </w:pPr>
          </w:p>
        </w:tc>
        <w:tc>
          <w:tcPr>
            <w:tcW w:w="6783" w:type="dxa"/>
          </w:tcPr>
          <w:p w14:paraId="26F30646" w14:textId="77777777" w:rsidR="00C71DAD" w:rsidRPr="008E469A" w:rsidRDefault="00C71DAD" w:rsidP="00A80F0F">
            <w:pPr>
              <w:tabs>
                <w:tab w:val="left" w:pos="551"/>
              </w:tabs>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lastRenderedPageBreak/>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lastRenderedPageBreak/>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lastRenderedPageBreak/>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lastRenderedPageBreak/>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49611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49611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lastRenderedPageBreak/>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lastRenderedPageBreak/>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w:t>
            </w:r>
            <w:r>
              <w:rPr>
                <w:lang w:val="en-US"/>
              </w:rPr>
              <w:lastRenderedPageBreak/>
              <w:t xml:space="preserve">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lastRenderedPageBreak/>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lastRenderedPageBreak/>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lastRenderedPageBreak/>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A80F0F">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A80F0F">
            <w:pPr>
              <w:tabs>
                <w:tab w:val="left" w:pos="551"/>
              </w:tabs>
              <w:rPr>
                <w:rFonts w:eastAsia="Yu Mincho"/>
                <w:lang w:val="en-US" w:eastAsia="ja-JP"/>
              </w:rPr>
            </w:pPr>
          </w:p>
        </w:tc>
        <w:tc>
          <w:tcPr>
            <w:tcW w:w="6780" w:type="dxa"/>
          </w:tcPr>
          <w:p w14:paraId="03D461D6" w14:textId="77777777" w:rsidR="005009DE" w:rsidRDefault="005009DE" w:rsidP="00A80F0F">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A80F0F">
            <w:pPr>
              <w:pStyle w:val="ListParagraph"/>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A80F0F">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77777777" w:rsidR="005009DE" w:rsidRDefault="005009DE" w:rsidP="00A80F0F">
            <w:pPr>
              <w:rPr>
                <w:rFonts w:eastAsia="Yu Mincho"/>
                <w:lang w:val="en-US" w:eastAsia="ja-JP"/>
              </w:rPr>
            </w:pPr>
          </w:p>
        </w:tc>
        <w:tc>
          <w:tcPr>
            <w:tcW w:w="1372" w:type="dxa"/>
          </w:tcPr>
          <w:p w14:paraId="0F62FC13" w14:textId="77777777" w:rsidR="005009DE" w:rsidRDefault="005009DE" w:rsidP="00A80F0F">
            <w:pPr>
              <w:tabs>
                <w:tab w:val="left" w:pos="551"/>
              </w:tabs>
              <w:rPr>
                <w:rFonts w:eastAsia="Yu Mincho"/>
                <w:lang w:val="en-US" w:eastAsia="ja-JP"/>
              </w:rPr>
            </w:pPr>
          </w:p>
        </w:tc>
        <w:tc>
          <w:tcPr>
            <w:tcW w:w="6780" w:type="dxa"/>
          </w:tcPr>
          <w:p w14:paraId="636D0DA9" w14:textId="77777777" w:rsidR="005009DE" w:rsidRDefault="005009DE" w:rsidP="00A80F0F">
            <w:pPr>
              <w:rPr>
                <w:rFonts w:eastAsia="DengXian"/>
                <w:lang w:val="en-US" w:eastAsia="zh-CN"/>
              </w:rPr>
            </w:pPr>
          </w:p>
        </w:tc>
      </w:tr>
      <w:tr w:rsidR="005009DE" w14:paraId="4914430E" w14:textId="77777777" w:rsidTr="005009DE">
        <w:tc>
          <w:tcPr>
            <w:tcW w:w="1479" w:type="dxa"/>
          </w:tcPr>
          <w:p w14:paraId="6D8627AB" w14:textId="77777777" w:rsidR="005009DE" w:rsidRDefault="005009DE" w:rsidP="00A80F0F">
            <w:pPr>
              <w:rPr>
                <w:rFonts w:eastAsia="Yu Mincho"/>
                <w:lang w:val="en-US" w:eastAsia="ja-JP"/>
              </w:rPr>
            </w:pPr>
          </w:p>
        </w:tc>
        <w:tc>
          <w:tcPr>
            <w:tcW w:w="1372" w:type="dxa"/>
          </w:tcPr>
          <w:p w14:paraId="4EACB080" w14:textId="77777777" w:rsidR="005009DE" w:rsidRDefault="005009DE" w:rsidP="00A80F0F">
            <w:pPr>
              <w:tabs>
                <w:tab w:val="left" w:pos="551"/>
              </w:tabs>
              <w:rPr>
                <w:rFonts w:eastAsia="Yu Mincho"/>
                <w:lang w:val="en-US" w:eastAsia="ja-JP"/>
              </w:rPr>
            </w:pPr>
          </w:p>
        </w:tc>
        <w:tc>
          <w:tcPr>
            <w:tcW w:w="6780" w:type="dxa"/>
          </w:tcPr>
          <w:p w14:paraId="51FBEF32" w14:textId="77777777" w:rsidR="005009DE" w:rsidRDefault="005009DE" w:rsidP="00A80F0F">
            <w:pPr>
              <w:rPr>
                <w:rFonts w:eastAsia="DengXian"/>
                <w:lang w:val="en-US" w:eastAsia="zh-CN"/>
              </w:rPr>
            </w:pPr>
          </w:p>
        </w:tc>
      </w:tr>
      <w:tr w:rsidR="005009DE" w14:paraId="2F66DF0A" w14:textId="77777777" w:rsidTr="005009DE">
        <w:tc>
          <w:tcPr>
            <w:tcW w:w="1479" w:type="dxa"/>
          </w:tcPr>
          <w:p w14:paraId="295D4D86" w14:textId="77777777" w:rsidR="005009DE" w:rsidRDefault="005009DE" w:rsidP="00A80F0F">
            <w:pPr>
              <w:rPr>
                <w:rFonts w:eastAsia="Yu Mincho"/>
                <w:lang w:val="en-US" w:eastAsia="ja-JP"/>
              </w:rPr>
            </w:pPr>
          </w:p>
        </w:tc>
        <w:tc>
          <w:tcPr>
            <w:tcW w:w="1372" w:type="dxa"/>
          </w:tcPr>
          <w:p w14:paraId="7B73D48F" w14:textId="77777777" w:rsidR="005009DE" w:rsidRDefault="005009DE" w:rsidP="00A80F0F">
            <w:pPr>
              <w:tabs>
                <w:tab w:val="left" w:pos="551"/>
              </w:tabs>
              <w:rPr>
                <w:rFonts w:eastAsia="Yu Mincho"/>
                <w:lang w:val="en-US" w:eastAsia="ja-JP"/>
              </w:rPr>
            </w:pPr>
          </w:p>
        </w:tc>
        <w:tc>
          <w:tcPr>
            <w:tcW w:w="6780" w:type="dxa"/>
          </w:tcPr>
          <w:p w14:paraId="25AE6BB6" w14:textId="77777777" w:rsidR="005009DE" w:rsidRDefault="005009DE" w:rsidP="00A80F0F">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lastRenderedPageBreak/>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lastRenderedPageBreak/>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lastRenderedPageBreak/>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lastRenderedPageBreak/>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lastRenderedPageBreak/>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lastRenderedPageBreak/>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96111"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96111"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96111"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96111"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96111"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96111"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96111"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496111"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96111"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96111"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96111"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96111"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96111"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96111"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lastRenderedPageBreak/>
              <w:t>[15]</w:t>
            </w:r>
          </w:p>
        </w:tc>
        <w:tc>
          <w:tcPr>
            <w:tcW w:w="1456" w:type="dxa"/>
            <w:tcMar>
              <w:top w:w="0" w:type="dxa"/>
              <w:left w:w="70" w:type="dxa"/>
              <w:bottom w:w="0" w:type="dxa"/>
              <w:right w:w="70" w:type="dxa"/>
            </w:tcMar>
            <w:hideMark/>
          </w:tcPr>
          <w:p w14:paraId="1C8BA123" w14:textId="5FE36949" w:rsidR="00307017" w:rsidRPr="00307017" w:rsidRDefault="00496111"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96111"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96111"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96111"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96111"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496111"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96111"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96111"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96111"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96111"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96111"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96111"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96111"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96111"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96111"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A497A" w14:textId="77777777" w:rsidR="00496111" w:rsidRDefault="00496111" w:rsidP="00581A60">
      <w:pPr>
        <w:spacing w:after="0"/>
      </w:pPr>
      <w:r>
        <w:separator/>
      </w:r>
    </w:p>
  </w:endnote>
  <w:endnote w:type="continuationSeparator" w:id="0">
    <w:p w14:paraId="05960A3C" w14:textId="77777777" w:rsidR="00496111" w:rsidRDefault="00496111" w:rsidP="00581A60">
      <w:pPr>
        <w:spacing w:after="0"/>
      </w:pPr>
      <w:r>
        <w:continuationSeparator/>
      </w:r>
    </w:p>
  </w:endnote>
  <w:endnote w:type="continuationNotice" w:id="1">
    <w:p w14:paraId="497F89D1" w14:textId="77777777" w:rsidR="00496111" w:rsidRDefault="004961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5D363" w14:textId="77777777" w:rsidR="00496111" w:rsidRDefault="00496111" w:rsidP="00581A60">
      <w:pPr>
        <w:spacing w:after="0"/>
      </w:pPr>
      <w:r>
        <w:separator/>
      </w:r>
    </w:p>
  </w:footnote>
  <w:footnote w:type="continuationSeparator" w:id="0">
    <w:p w14:paraId="5ADD0C74" w14:textId="77777777" w:rsidR="00496111" w:rsidRDefault="00496111" w:rsidP="00581A60">
      <w:pPr>
        <w:spacing w:after="0"/>
      </w:pPr>
      <w:r>
        <w:continuationSeparator/>
      </w:r>
    </w:p>
  </w:footnote>
  <w:footnote w:type="continuationNotice" w:id="1">
    <w:p w14:paraId="71E6CC7F" w14:textId="77777777" w:rsidR="00496111" w:rsidRDefault="004961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943"/>
    <w:rsid w:val="0048475B"/>
    <w:rsid w:val="00484869"/>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16397</Words>
  <Characters>86908</Characters>
  <Application>Microsoft Office Word</Application>
  <DocSecurity>0</DocSecurity>
  <Lines>724</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17</cp:revision>
  <dcterms:created xsi:type="dcterms:W3CDTF">2021-01-29T23:18:00Z</dcterms:created>
  <dcterms:modified xsi:type="dcterms:W3CDTF">2021-01-31T21:46:00Z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