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HARQ processes are disabled, e. g. only one HARQ process is 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D52B11">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0-1/1-1</w:t>
            </w:r>
          </w:p>
        </w:tc>
        <w:tc>
          <w:tcPr>
            <w:tcW w:w="0" w:type="auto"/>
          </w:tcPr>
          <w:p w14:paraId="23A93F27" w14:textId="77777777" w:rsidR="003433C7" w:rsidRDefault="003433C7" w:rsidP="00D52B11">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D52B11">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D52B11">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D52B11">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46ACC08" w:rsidR="004366AE" w:rsidRPr="00E254BF" w:rsidRDefault="0042586E" w:rsidP="00D52B11">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ListParagraph"/>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ListParagraph"/>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ListParagraph"/>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ListParagraph"/>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ListParagraph"/>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ListParagraph"/>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ListParagraph"/>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ListParagraph"/>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ListParagraph"/>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BodyText"/>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693A9" w14:textId="77777777" w:rsidR="009931FB" w:rsidRDefault="009931FB">
      <w:pPr>
        <w:spacing w:after="0"/>
      </w:pPr>
      <w:r>
        <w:separator/>
      </w:r>
    </w:p>
  </w:endnote>
  <w:endnote w:type="continuationSeparator" w:id="0">
    <w:p w14:paraId="0D3562CA" w14:textId="77777777" w:rsidR="009931FB" w:rsidRDefault="00993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00000287" w:usb1="08070000" w:usb2="00000010"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D52B11" w:rsidRDefault="00D52B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52B11" w:rsidRDefault="00D52B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E90A519" w:rsidR="00D52B11" w:rsidRDefault="00D52B1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211E1" w14:textId="77777777" w:rsidR="009931FB" w:rsidRDefault="009931FB">
      <w:pPr>
        <w:spacing w:after="0"/>
      </w:pPr>
      <w:r>
        <w:separator/>
      </w:r>
    </w:p>
  </w:footnote>
  <w:footnote w:type="continuationSeparator" w:id="0">
    <w:p w14:paraId="2F31702C" w14:textId="77777777" w:rsidR="009931FB" w:rsidRDefault="00993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D52B11" w:rsidRDefault="00D52B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878EF-1EF1-49C9-85D2-9BCC0D98C7B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42</Pages>
  <Words>20067</Words>
  <Characters>106356</Characters>
  <Application>Microsoft Office Word</Application>
  <DocSecurity>0</DocSecurity>
  <Lines>886</Lines>
  <Paragraphs>252</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Stefan Eriksson Löwenmark</cp:lastModifiedBy>
  <cp:revision>3</cp:revision>
  <cp:lastPrinted>2011-11-09T07:49:00Z</cp:lastPrinted>
  <dcterms:created xsi:type="dcterms:W3CDTF">2021-01-29T09:58:00Z</dcterms:created>
  <dcterms:modified xsi:type="dcterms:W3CDTF">2021-01-29T09:59:00Z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