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 xml:space="preserve">For Type-3 HARQ codebook, we would have a preference for Alt-1, but could potentially accept Alt-2. It is worth noting that a few companies proposed to not support Type-3 HARQ codebook at all for NR over NTN (OPPO, Sony, </w:t>
            </w:r>
            <w:proofErr w:type="gramStart"/>
            <w:r>
              <w:rPr>
                <w:lang w:eastAsia="zh-CN"/>
              </w:rPr>
              <w:t>CATT</w:t>
            </w:r>
            <w:proofErr w:type="gramEnd"/>
            <w:r>
              <w:rPr>
                <w:lang w:eastAsia="zh-CN"/>
              </w:rPr>
              <w: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w:t>
            </w:r>
            <w:proofErr w:type="gramStart"/>
            <w:r>
              <w:rPr>
                <w:lang w:eastAsia="zh-CN"/>
              </w:rPr>
              <w:t>,1</w:t>
            </w:r>
            <w:proofErr w:type="gramEnd"/>
            <w:r>
              <w:rPr>
                <w:lang w:eastAsia="zh-CN"/>
              </w:rPr>
              <w:t xml:space="preserve">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w:t>
            </w:r>
            <w:proofErr w:type="gramStart"/>
            <w:r>
              <w:rPr>
                <w:lang w:eastAsia="zh-CN"/>
              </w:rPr>
              <w:t>procedures.</w:t>
            </w:r>
            <w:proofErr w:type="gramEnd"/>
            <w:r>
              <w:rPr>
                <w:lang w:eastAsia="zh-CN"/>
              </w:rPr>
              <w:t xml:space="preserve">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InterDigital,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C129A6">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C129A6">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bookmarkStart w:id="5" w:name="_GoBack"/>
      <w:bookmarkEnd w:id="5"/>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in  are disabled, but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in  are disabled regardless whether </w:t>
      </w:r>
      <w:proofErr w:type="spellStart"/>
      <w:r w:rsidRPr="00527976">
        <w:rPr>
          <w:rFonts w:ascii="Times New Roman" w:eastAsiaTheme="minorEastAsia" w:hAnsi="Times New Roman"/>
          <w:szCs w:val="20"/>
          <w:lang w:val="en-GB" w:eastAsia="zh-CN"/>
        </w:rPr>
        <w:t>mis</w:t>
      </w:r>
      <w:proofErr w:type="spellEnd"/>
      <w:r w:rsidRPr="00527976">
        <w:rPr>
          <w:rFonts w:ascii="Times New Roman" w:eastAsiaTheme="minorEastAsia" w:hAnsi="Times New Roman"/>
          <w:szCs w:val="20"/>
          <w:lang w:val="en-GB" w:eastAsia="zh-CN"/>
        </w:rPr>
        <w:t>-detection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a"/>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a"/>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lastRenderedPageBreak/>
        <w:t>Type-2 HARQ codebook: Reduce codebook size with HARQ-ACK codebook only includes HARQ-ACK of PDSCH with feedback-enabled HARQ processes</w:t>
      </w:r>
    </w:p>
    <w:p w14:paraId="348165A9" w14:textId="77777777" w:rsidR="006E1B85" w:rsidRPr="00057432" w:rsidRDefault="006E1B85" w:rsidP="006E1B85">
      <w:pPr>
        <w:pStyle w:val="afa"/>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a"/>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lastRenderedPageBreak/>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C129A6">
            <w:pPr>
              <w:snapToGrid w:val="0"/>
              <w:spacing w:after="0"/>
              <w:rPr>
                <w:rFonts w:eastAsia="MS Mincho"/>
                <w:lang w:eastAsia="ja-JP"/>
              </w:rPr>
            </w:pPr>
            <w:r>
              <w:rPr>
                <w:rFonts w:eastAsia="MS Mincho"/>
                <w:lang w:eastAsia="ja-JP"/>
              </w:rPr>
              <w:t>For Type-2, we support.</w:t>
            </w:r>
          </w:p>
          <w:p w14:paraId="2E43FAAD" w14:textId="77777777" w:rsidR="0009745F" w:rsidRDefault="0009745F" w:rsidP="00C129A6">
            <w:pPr>
              <w:snapToGrid w:val="0"/>
              <w:spacing w:after="0"/>
              <w:rPr>
                <w:rFonts w:eastAsia="MS Mincho"/>
                <w:lang w:eastAsia="ja-JP"/>
              </w:rPr>
            </w:pPr>
          </w:p>
          <w:p w14:paraId="00F495FE" w14:textId="77777777" w:rsidR="0009745F" w:rsidRDefault="0009745F" w:rsidP="00C129A6">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C129A6">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C129A6">
            <w:pPr>
              <w:snapToGrid w:val="0"/>
              <w:spacing w:after="0"/>
              <w:rPr>
                <w:rFonts w:eastAsia="MS Mincho"/>
                <w:lang w:eastAsia="ja-JP"/>
              </w:rPr>
            </w:pPr>
          </w:p>
          <w:p w14:paraId="14927B34" w14:textId="77777777" w:rsidR="0009745F" w:rsidRDefault="0009745F" w:rsidP="00C129A6">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C129A6">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lastRenderedPageBreak/>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proofErr w:type="gramStart"/>
      <w:r>
        <w:t>dl-</w:t>
      </w:r>
      <w:proofErr w:type="spellStart"/>
      <w:r>
        <w:t>DataToUL</w:t>
      </w:r>
      <w:proofErr w:type="spellEnd"/>
      <w:r>
        <w:t>-ACK</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w:t>
            </w:r>
            <w:proofErr w:type="spellStart"/>
            <w:r w:rsidRPr="0092633A">
              <w:t>hat</w:t>
            </w:r>
            <w:proofErr w:type="spellEnd"/>
            <w:r w:rsidRPr="0092633A">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F5480C" w14:paraId="31532A9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733130" w:rsidRDefault="009F182D" w:rsidP="00FE3C4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Default="009F182D" w:rsidP="002201DD">
            <w:pPr>
              <w:snapToGrid w:val="0"/>
              <w:rPr>
                <w:lang w:eastAsia="zh-CN"/>
              </w:rPr>
            </w:pPr>
            <w:r>
              <w:rPr>
                <w:rFonts w:hint="eastAsia"/>
                <w:lang w:eastAsia="zh-CN"/>
              </w:rPr>
              <w:t>W</w:t>
            </w:r>
            <w:r>
              <w:rPr>
                <w:lang w:eastAsia="zh-CN"/>
              </w:rPr>
              <w:t>e support the proposal.</w:t>
            </w:r>
          </w:p>
        </w:tc>
      </w:tr>
      <w:tr w:rsidR="001B3279" w:rsidRPr="00F5480C" w14:paraId="50B9B03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t xml:space="preserve">Support </w:t>
            </w:r>
            <w:r w:rsidRPr="004B0788">
              <w:rPr>
                <w:b/>
                <w:color w:val="000000" w:themeColor="text1"/>
                <w:highlight w:val="cyan"/>
                <w:lang w:eastAsia="zh-CN"/>
              </w:rPr>
              <w:t>[Initial Proposal 3]</w:t>
            </w:r>
          </w:p>
        </w:tc>
      </w:tr>
    </w:tbl>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lastRenderedPageBreak/>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C129A6">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C129A6">
            <w:pPr>
              <w:snapToGrid w:val="0"/>
              <w:rPr>
                <w:rFonts w:eastAsia="MS Mincho"/>
                <w:lang w:val="en-US" w:eastAsia="ja-JP"/>
              </w:rPr>
            </w:pPr>
            <w:r>
              <w:rPr>
                <w:rFonts w:eastAsia="MS Mincho"/>
                <w:lang w:val="en-US" w:eastAsia="ja-JP"/>
              </w:rPr>
              <w:t>It is completely a gNB implementation choice – NW behavior cannot be specified.</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lastRenderedPageBreak/>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C129A6">
            <w:pPr>
              <w:snapToGrid w:val="0"/>
              <w:rPr>
                <w:rFonts w:eastAsia="MS Mincho"/>
                <w:lang w:eastAsia="ja-JP"/>
              </w:rPr>
            </w:pPr>
            <w:r>
              <w:rPr>
                <w:rFonts w:eastAsia="MS Mincho"/>
                <w:lang w:eastAsia="ja-JP"/>
              </w:rPr>
              <w:t>Support the proposal (also for UL).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lastRenderedPageBreak/>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lastRenderedPageBreak/>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lastRenderedPageBreak/>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lastRenderedPageBreak/>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UE does not expect a MAC CE activation/deactivation command, which would become </w:t>
            </w:r>
            <w:r w:rsidRPr="00764EA0">
              <w:rPr>
                <w:rStyle w:val="af6"/>
                <w:rFonts w:ascii="Times New Roman" w:hAnsi="Times New Roman" w:cs="Times New Roman"/>
                <w:b w:val="0"/>
                <w:noProof/>
                <w:color w:val="000000" w:themeColor="text1"/>
                <w:sz w:val="20"/>
                <w:szCs w:val="20"/>
                <w:u w:val="none"/>
              </w:rPr>
              <w:lastRenderedPageBreak/>
              <w:t>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lastRenderedPageBreak/>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lastRenderedPageBreak/>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lastRenderedPageBreak/>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gramStart"/>
            <w:r w:rsidRPr="00764EA0">
              <w:rPr>
                <w:rFonts w:ascii="Times New Roman" w:hAnsi="Times New Roman"/>
                <w:sz w:val="20"/>
                <w:szCs w:val="20"/>
              </w:rPr>
              <w:t>gNB</w:t>
            </w:r>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lastRenderedPageBreak/>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09DD5" w14:textId="77777777" w:rsidR="007B7977" w:rsidRDefault="007B7977">
      <w:pPr>
        <w:spacing w:after="0"/>
      </w:pPr>
      <w:r>
        <w:separator/>
      </w:r>
    </w:p>
  </w:endnote>
  <w:endnote w:type="continuationSeparator" w:id="0">
    <w:p w14:paraId="7CDC25E1" w14:textId="77777777" w:rsidR="007B7977" w:rsidRDefault="007B7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085696">
      <w:rPr>
        <w:rStyle w:val="af3"/>
        <w:noProof/>
      </w:rPr>
      <w:t>34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85696">
      <w:rPr>
        <w:rStyle w:val="af3"/>
        <w:noProof/>
      </w:rPr>
      <w:t>41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34EA2" w14:textId="77777777" w:rsidR="007B7977" w:rsidRDefault="007B7977">
      <w:pPr>
        <w:spacing w:after="0"/>
      </w:pPr>
      <w:r>
        <w:separator/>
      </w:r>
    </w:p>
  </w:footnote>
  <w:footnote w:type="continuationSeparator" w:id="0">
    <w:p w14:paraId="5EF80204" w14:textId="77777777" w:rsidR="007B7977" w:rsidRDefault="007B79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923213-801E-48A5-A589-2FBF6E00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41</Pages>
  <Words>18295</Words>
  <Characters>104287</Characters>
  <Application>Microsoft Office Word</Application>
  <DocSecurity>0</DocSecurity>
  <Lines>869</Lines>
  <Paragraphs>244</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7</cp:revision>
  <cp:lastPrinted>2011-11-09T07:49:00Z</cp:lastPrinted>
  <dcterms:created xsi:type="dcterms:W3CDTF">2021-01-29T02:15:00Z</dcterms:created>
  <dcterms:modified xsi:type="dcterms:W3CDTF">2021-01-29T02:26:00Z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