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Paragraphedeliste"/>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Paragraphedeliste"/>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Paragraphedeliste"/>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Paragraphedeliste"/>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Paragraphedeliste"/>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Paragraphedeliste"/>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bl>
    <w:p w14:paraId="196EEE24" w14:textId="77777777" w:rsidR="00CF0639" w:rsidRDefault="00CF0639" w:rsidP="00CF0639">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Paragraphedeliste"/>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Paragraphedeliste"/>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Paragraphedeliste"/>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Paragraphedeliste"/>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Paragraphedeliste"/>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Paragraphedeliste"/>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Paragraphedeliste"/>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Paragraphedeliste"/>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Paragraphedeliste"/>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Paragraphedeliste"/>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Paragraphedeliste"/>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Paragraphedeliste"/>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Paragraphedeliste"/>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Paragraphedeliste"/>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Paragraphedeliste"/>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Paragraphedeliste"/>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Paragraphedeliste"/>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Paragraphedeliste"/>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Paragraphedeliste"/>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Paragraphedeliste"/>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Paragraphedeliste"/>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Paragraphedeliste"/>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Paragraphedeliste"/>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lastRenderedPageBreak/>
              <w:t>For type 3, we question its benefit compared with type 1 and type 2. We have the followings concerns:</w:t>
            </w:r>
          </w:p>
          <w:p w14:paraId="020A7DBA" w14:textId="77777777" w:rsidR="001C0F60" w:rsidRDefault="001C0F60" w:rsidP="001C0F60">
            <w:pPr>
              <w:pStyle w:val="Paragraphedeliste"/>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Paragraphedeliste"/>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Paragraphedeliste"/>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Paragraphedeliste"/>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Paragraphedeliste"/>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Paragraphedeliste"/>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Paragraphedeliste"/>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CA0559">
            <w:pPr>
              <w:snapToGrid w:val="0"/>
              <w:rPr>
                <w:lang w:eastAsia="zh-CN"/>
              </w:rPr>
            </w:pPr>
            <w:r>
              <w:rPr>
                <w:rFonts w:hint="eastAsia"/>
                <w:lang w:eastAsia="zh-CN"/>
              </w:rPr>
              <w:t>S</w:t>
            </w:r>
            <w:r>
              <w:rPr>
                <w:lang w:eastAsia="zh-CN"/>
              </w:rPr>
              <w:t>upportive for the proposal.</w:t>
            </w:r>
          </w:p>
          <w:p w14:paraId="751ED5B7" w14:textId="77777777" w:rsidR="00895060" w:rsidRDefault="00895060" w:rsidP="00CA0559">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w:t>
            </w:r>
            <w:r>
              <w:rPr>
                <w:lang w:eastAsia="zh-CN"/>
              </w:rPr>
              <w:lastRenderedPageBreak/>
              <w:t xml:space="preserve">can be either done with or without consideration of potential information from UE. </w:t>
            </w:r>
          </w:p>
        </w:tc>
      </w:tr>
      <w:tr w:rsidR="009B02AB" w14:paraId="5576D24C"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bl>
    <w:p w14:paraId="58197E2B" w14:textId="77777777" w:rsidR="005F2788" w:rsidRPr="00687220" w:rsidRDefault="005F2788"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Paragraphedeliste"/>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Paragraphedeliste"/>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lastRenderedPageBreak/>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Paragraphedeliste"/>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Paragraphedeliste"/>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Paragraphedeliste"/>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Paragraphedeliste"/>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Paragraphedeliste"/>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Paragraphedeliste"/>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Corpsdetext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Paragraphedeliste"/>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Paragraphedeliste"/>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Paragraphedeliste"/>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Paragraphedeliste"/>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Paragraphedeliste"/>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Paragraphedeliste"/>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Paragraphedeliste"/>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Paragraphedeliste"/>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Corpsdetext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w:t>
            </w:r>
            <w:r>
              <w:lastRenderedPageBreak/>
              <w:t xml:space="preserve">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CA0559">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gNB’s behaviour to achieve the required additional offset between two PUSCHs, e.g., T_proc,2 for PUSCH preparation.</w:t>
            </w:r>
          </w:p>
        </w:tc>
      </w:tr>
      <w:tr w:rsidR="009B02AB" w14:paraId="58E3B68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CA0559">
            <w:pPr>
              <w:snapToGrid w:val="0"/>
              <w:ind w:left="360"/>
              <w:rPr>
                <w:lang w:eastAsia="zh-CN"/>
              </w:rPr>
            </w:pPr>
            <w:r w:rsidRPr="00FA5C8C">
              <w:rPr>
                <w:lang w:eastAsia="zh-CN"/>
              </w:rPr>
              <w:t>We share the moderator’s view : no need for scheduling enhancement on PUSCH</w:t>
            </w:r>
          </w:p>
        </w:tc>
      </w:tr>
    </w:tbl>
    <w:p w14:paraId="6D51585A" w14:textId="77777777" w:rsidR="005F2788" w:rsidRDefault="005F2788"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Corpsdetext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Corpsdetext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Paragraphedeliste"/>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Paragraphedeliste"/>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31DC4F8D" w14:textId="25CA4A0F" w:rsidR="004D26C4" w:rsidRPr="004D26C4" w:rsidRDefault="004D26C4" w:rsidP="00855278">
      <w:pPr>
        <w:pStyle w:val="Corpsdetext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Lienhypertexte"/>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Lienhypertexte"/>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Corpsdetext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Corpsdetext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lastRenderedPageBreak/>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Paragraphedeliste"/>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Paragraphedeliste"/>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Paragraphedeliste"/>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CA0559">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CA0559">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bl>
    <w:p w14:paraId="2FC1B16E" w14:textId="77777777" w:rsidR="00687220" w:rsidRPr="005F2788" w:rsidRDefault="00687220" w:rsidP="005F2788">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Corpsdetext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Corpsdetext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Corpsdetext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Corpsdetext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Corpsdetext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Corpsdetext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Corpsdetext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Corpsdetext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Corpsdetext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Corpsdetext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Paragraphedeliste"/>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Paragraphedeliste"/>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Paragraphedeliste"/>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Paragraphedeliste"/>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Paragraphedeliste"/>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Paragraphedeliste"/>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Paragraphedeliste"/>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CA0559">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bookmarkStart w:id="4" w:name="_GoBack"/>
            <w:bookmarkEnd w:id="4"/>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bl>
    <w:p w14:paraId="42EA82C9" w14:textId="266D878A" w:rsidR="00C27075" w:rsidRDefault="00C27075" w:rsidP="00697A4A">
      <w:pPr>
        <w:pStyle w:val="Titre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Titre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Corpsdetext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Corpsdetext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Corpsdetext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Corpsdetext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Corpsdetext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Paragraphedeliste"/>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Paragraphedeliste"/>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Paragraphedeliste"/>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Paragraphedeliste"/>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MCS table</w:t>
            </w:r>
          </w:p>
          <w:p w14:paraId="0CD273CB"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Paragraphedeliste"/>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Paragraphedeliste"/>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Paragraphedeliste"/>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Paragraphedeliste"/>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Paragraphedeliste"/>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Paragraphedeliste"/>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Paragraphedeliste"/>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Paragraphedeliste"/>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Paragraphedeliste"/>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Paragraphedeliste"/>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Paragraphedeliste"/>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Paragraphedeliste"/>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Type-2 HARQ codebook:</w:t>
            </w:r>
          </w:p>
          <w:p w14:paraId="67662F36"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Paragraphedeliste"/>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AF7B12">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6.9pt">
                  <v:imagedata r:id="rId14"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Paragraphedeliste"/>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Corpsdetext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Paragraphedeliste"/>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Paragraphedeliste"/>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Corpsdetext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Corpsdetext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Paragraphedeliste"/>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Paragraphedeliste"/>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Corpsdetext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w:t>
            </w:r>
            <w:r w:rsidRPr="00764EA0">
              <w:rPr>
                <w:rFonts w:ascii="Times New Roman" w:hAnsi="Times New Roman"/>
                <w:szCs w:val="20"/>
                <w:lang w:eastAsia="ko-KR"/>
              </w:rPr>
              <w:lastRenderedPageBreak/>
              <w:t>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Corpsdetext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Corpsdetext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Paragraphedeliste"/>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Paragraphedeliste"/>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Paragraphedeliste"/>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Paragraphedeliste"/>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lastRenderedPageBreak/>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Paragraphedeliste"/>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Paragraphedeliste"/>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Paragraphedeliste"/>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Paragraphedeliste"/>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Paragraphedeliste"/>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Paragraphedeliste"/>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Paragraphedeliste"/>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Paragraphedeliste"/>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Paragraphedeliste"/>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Paragraphedeliste"/>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Paragraphedeliste"/>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Paragraphedeliste"/>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Paragraphedeliste"/>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 xml:space="preserve">NR is a toolbox of features. Each feature should not be limited to a certain use case or </w:t>
            </w:r>
            <w:r w:rsidRPr="00764EA0">
              <w:rPr>
                <w:rStyle w:val="Lienhypertexte"/>
                <w:rFonts w:ascii="Times New Roman" w:hAnsi="Times New Roman" w:cs="Times New Roman"/>
                <w:b w:val="0"/>
                <w:noProof/>
                <w:color w:val="000000" w:themeColor="text1"/>
                <w:sz w:val="20"/>
                <w:szCs w:val="20"/>
                <w:u w:val="none"/>
              </w:rPr>
              <w:lastRenderedPageBreak/>
              <w:t>deployment and it is up to implementation to use it as fit.</w:t>
            </w:r>
          </w:p>
          <w:p w14:paraId="1919457F" w14:textId="2F2011BB"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Lienhypertexte"/>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 xml:space="preserve">The value of X should be less than </w:t>
            </w:r>
            <m:oMath>
              <m:r>
                <m:rPr>
                  <m:sty m:val="b"/>
                </m:rPr>
                <w:rPr>
                  <w:rStyle w:val="Lienhypertexte"/>
                  <w:rFonts w:ascii="Cambria Math" w:hAnsi="Cambria Math" w:cs="Times New Roman"/>
                  <w:noProof/>
                  <w:color w:val="000000" w:themeColor="text1"/>
                  <w:sz w:val="20"/>
                  <w:szCs w:val="20"/>
                  <w:u w:val="none"/>
                </w:rPr>
                <m:t>Tproc,1</m:t>
              </m:r>
            </m:oMath>
            <w:r w:rsidRPr="00764EA0">
              <w:rPr>
                <w:rStyle w:val="Lienhypertexte"/>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desillustrations"/>
              <w:tabs>
                <w:tab w:val="right" w:leader="dot" w:pos="9629"/>
              </w:tabs>
              <w:adjustRightInd w:val="0"/>
              <w:snapToGrid w:val="0"/>
              <w:spacing w:after="0"/>
              <w:rPr>
                <w:rFonts w:ascii="Times New Roman" w:hAnsi="Times New Roman" w:cs="Times New Roman"/>
                <w:b w:val="0"/>
                <w:sz w:val="20"/>
                <w:szCs w:val="20"/>
              </w:rPr>
            </w:pPr>
            <w:r w:rsidRPr="00764EA0">
              <w:rPr>
                <w:rStyle w:val="Lienhypertexte"/>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Lienhypertexte"/>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M1"/>
              <w:snapToGrid w:val="0"/>
              <w:spacing w:before="0"/>
              <w:ind w:left="0" w:firstLine="0"/>
              <w:rPr>
                <w:rFonts w:eastAsiaTheme="minorEastAsia"/>
                <w:color w:val="000000" w:themeColor="text1"/>
                <w:sz w:val="20"/>
                <w:lang w:eastAsia="zh-TW"/>
              </w:rPr>
            </w:pPr>
            <w:r w:rsidRPr="00764EA0">
              <w:rPr>
                <w:rStyle w:val="Lienhypertexte"/>
                <w:color w:val="000000" w:themeColor="text1"/>
                <w:sz w:val="20"/>
                <w:u w:val="none"/>
                <w:lang w:eastAsia="zh-TW"/>
              </w:rPr>
              <w:t>Proposal 1</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 xml:space="preserve">Reuse </w:t>
            </w:r>
            <m:oMath>
              <m:r>
                <m:rPr>
                  <m:sty m:val="p"/>
                </m:rPr>
                <w:rPr>
                  <w:rStyle w:val="Lienhypertexte"/>
                  <w:rFonts w:ascii="Cambria Math" w:hAnsi="Cambria Math"/>
                  <w:color w:val="000000" w:themeColor="text1"/>
                  <w:sz w:val="20"/>
                  <w:u w:val="none"/>
                  <w:lang w:eastAsia="zh-TW"/>
                </w:rPr>
                <m:t>Tproc,1</m:t>
              </m:r>
            </m:oMath>
            <w:r w:rsidRPr="00764EA0">
              <w:rPr>
                <w:rStyle w:val="Lienhypertexte"/>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2</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3</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4</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5</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6</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M1"/>
              <w:snapToGrid w:val="0"/>
              <w:spacing w:before="0"/>
              <w:rPr>
                <w:rFonts w:eastAsiaTheme="minorEastAsia"/>
                <w:color w:val="000000" w:themeColor="text1"/>
                <w:sz w:val="20"/>
                <w:lang w:eastAsia="zh-TW"/>
              </w:rPr>
            </w:pPr>
            <w:r w:rsidRPr="00764EA0">
              <w:rPr>
                <w:rStyle w:val="Lienhypertexte"/>
                <w:color w:val="000000" w:themeColor="text1"/>
                <w:sz w:val="20"/>
                <w:u w:val="none"/>
                <w:lang w:eastAsia="zh-TW"/>
              </w:rPr>
              <w:t>Proposal 7</w:t>
            </w:r>
            <w:r w:rsidRPr="00764EA0">
              <w:rPr>
                <w:rFonts w:eastAsiaTheme="minorEastAsia"/>
                <w:color w:val="000000" w:themeColor="text1"/>
                <w:sz w:val="20"/>
                <w:lang w:eastAsia="zh-TW"/>
              </w:rPr>
              <w:tab/>
            </w:r>
            <w:r w:rsidRPr="00764EA0">
              <w:rPr>
                <w:rStyle w:val="Lienhypertexte"/>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M1"/>
              <w:snapToGrid w:val="0"/>
              <w:spacing w:before="0"/>
              <w:rPr>
                <w:sz w:val="20"/>
              </w:rPr>
            </w:pPr>
            <w:r w:rsidRPr="00764EA0">
              <w:rPr>
                <w:rStyle w:val="Lienhypertexte"/>
                <w:color w:val="000000" w:themeColor="text1"/>
                <w:sz w:val="20"/>
                <w:u w:val="none"/>
              </w:rPr>
              <w:t>Proposal 8</w:t>
            </w:r>
            <w:r w:rsidRPr="00764EA0">
              <w:rPr>
                <w:rFonts w:eastAsiaTheme="minorEastAsia"/>
                <w:color w:val="000000" w:themeColor="text1"/>
                <w:sz w:val="20"/>
                <w:lang w:eastAsia="zh-TW"/>
              </w:rPr>
              <w:tab/>
            </w:r>
            <w:r w:rsidRPr="00764EA0">
              <w:rPr>
                <w:rStyle w:val="Lienhypertexte"/>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lastRenderedPageBreak/>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Paragraphedeliste"/>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Paragraphedeliste"/>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Paragraphedeliste"/>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Paragraphedeliste"/>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Paragraphedeliste"/>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 xml:space="preserve">only 1 CRC OK in a bundle (proper parameter) : ACK </w:t>
            </w:r>
          </w:p>
          <w:p w14:paraId="1E127DC5" w14:textId="77777777" w:rsidR="005134D6" w:rsidRPr="00764EA0" w:rsidRDefault="005134D6" w:rsidP="00DC337A">
            <w:pPr>
              <w:pStyle w:val="Paragraphedeliste"/>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Paragraphedeliste"/>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Paragraphedeliste"/>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Paragraphedeliste"/>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Paragraphedeliste"/>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Paragraphedeliste"/>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Paragraphedeliste"/>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Paragraphedeliste"/>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Paragraphedeliste"/>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Paragraphedeliste"/>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Paragraphedeliste"/>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Paragraphedeliste"/>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Paragraphedeliste"/>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Paragraphedeliste"/>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Paragraphedeliste"/>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Paragraphedeliste"/>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Paragraphedeliste"/>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Paragraphedeliste"/>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 xml:space="preserve">HARQ-ACK information based on a reception outcome of a corresponding TB for the HARQ process </w:t>
            </w:r>
            <w:r w:rsidRPr="00764EA0">
              <w:rPr>
                <w:rFonts w:ascii="Times New Roman" w:hAnsi="Times New Roman"/>
                <w:sz w:val="20"/>
                <w:szCs w:val="20"/>
              </w:rPr>
              <w:lastRenderedPageBreak/>
              <w:t>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Paragraphedeliste"/>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Paragraphedeliste"/>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Paragraphedeliste"/>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Paragraphedeliste"/>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Paragraphedeliste"/>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Paragraphedeliste"/>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Paragraphedeliste"/>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Paragraphedeliste"/>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Paragraphedeliste"/>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Paragraphedeliste"/>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Paragraphedeliste"/>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Paragraphedeliste"/>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Paragraphedeliste"/>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Paragraphedeliste"/>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Paragraphedeliste"/>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Paragraphedeliste"/>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Paragraphedeliste"/>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Paragraphedeliste"/>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6D025" w14:textId="77777777" w:rsidR="00AF7B12" w:rsidRDefault="00AF7B12">
      <w:pPr>
        <w:spacing w:after="0"/>
      </w:pPr>
      <w:r>
        <w:separator/>
      </w:r>
    </w:p>
  </w:endnote>
  <w:endnote w:type="continuationSeparator" w:id="0">
    <w:p w14:paraId="354B9682" w14:textId="77777777" w:rsidR="00AF7B12" w:rsidRDefault="00AF7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A64E62" w:rsidRDefault="00A64E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8CACF9" w14:textId="77777777" w:rsidR="00A64E62" w:rsidRDefault="00A64E6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7777777" w:rsidR="00A64E62" w:rsidRDefault="00A64E62">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FA5C8C">
      <w:rPr>
        <w:rStyle w:val="Numrodepage"/>
        <w:noProof/>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A5C8C">
      <w:rPr>
        <w:rStyle w:val="Numrodepage"/>
        <w:noProof/>
      </w:rPr>
      <w:t>23</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5263" w14:textId="77777777" w:rsidR="009B02AB" w:rsidRDefault="009B02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1A7EF" w14:textId="77777777" w:rsidR="00AF7B12" w:rsidRDefault="00AF7B12">
      <w:pPr>
        <w:spacing w:after="0"/>
      </w:pPr>
      <w:r>
        <w:separator/>
      </w:r>
    </w:p>
  </w:footnote>
  <w:footnote w:type="continuationSeparator" w:id="0">
    <w:p w14:paraId="463D9A36" w14:textId="77777777" w:rsidR="00AF7B12" w:rsidRDefault="00AF7B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506A" w14:textId="77777777" w:rsidR="009B02AB" w:rsidRDefault="009B02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E8261" w14:textId="77777777" w:rsidR="009B02AB" w:rsidRDefault="009B02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Titre1">
    <w:name w:val="heading 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LgendeCar"/>
    <w:qFormat/>
    <w:pPr>
      <w:spacing w:before="120" w:after="120"/>
    </w:pPr>
    <w:rPr>
      <w:b/>
      <w:bCs/>
    </w:rPr>
  </w:style>
  <w:style w:type="paragraph" w:styleId="Explorateurdedocuments">
    <w:name w:val="Document Map"/>
    <w:basedOn w:val="Normal"/>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lang w:val="en-US"/>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szCs w:val="16"/>
    </w:rPr>
  </w:style>
  <w:style w:type="character" w:styleId="Appelnotedebasdep">
    <w:name w:val="footnote reference"/>
    <w:qFormat/>
    <w:rPr>
      <w:b/>
      <w:position w:val="6"/>
      <w:sz w:val="16"/>
    </w:rPr>
  </w:style>
  <w:style w:type="table" w:styleId="Grilledutableau">
    <w:name w:val="Table Grid"/>
    <w:basedOn w:val="Tableau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fonce-Accent6">
    <w:name w:val="Dark List Accent 6"/>
    <w:basedOn w:val="Tableau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Titre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bidi="ar-SA"/>
    </w:rPr>
  </w:style>
  <w:style w:type="character" w:customStyle="1" w:styleId="Titre2Car">
    <w:name w:val="Titre 2 Car"/>
    <w:link w:val="Titre2"/>
    <w:qFormat/>
    <w:rPr>
      <w:rFonts w:ascii="Arial" w:hAnsi="Arial"/>
      <w:sz w:val="32"/>
      <w:lang w:val="en-GB" w:eastAsia="en-US" w:bidi="ar-SA"/>
    </w:rPr>
  </w:style>
  <w:style w:type="character" w:customStyle="1" w:styleId="Titre3Car">
    <w:name w:val="Titre 3 Car"/>
    <w:link w:val="Titre3"/>
    <w:qFormat/>
    <w:rPr>
      <w:rFonts w:ascii="Arial" w:hAnsi="Arial"/>
      <w:sz w:val="28"/>
      <w:lang w:val="en-GB" w:eastAsia="en-US" w:bidi="ar-SA"/>
    </w:rPr>
  </w:style>
  <w:style w:type="character" w:customStyle="1" w:styleId="Titre4Car">
    <w:name w:val="Titre 4 Car"/>
    <w:link w:val="Titre4"/>
    <w:qFormat/>
    <w:rPr>
      <w:rFonts w:ascii="Arial" w:hAnsi="Arial"/>
      <w:sz w:val="24"/>
      <w:lang w:val="en-GB" w:eastAsia="en-US" w:bidi="ar-SA"/>
    </w:rPr>
  </w:style>
  <w:style w:type="character" w:customStyle="1" w:styleId="Titre5Car">
    <w:name w:val="Titre 5 Car"/>
    <w:link w:val="Titre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aireCar">
    <w:name w:val="Commentaire Car"/>
    <w:link w:val="Commentaire"/>
    <w:qFormat/>
    <w:rPr>
      <w:rFonts w:ascii="Times New Roman" w:hAnsi="Times New Roman"/>
      <w:lang w:val="en-GB"/>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rPr>
  </w:style>
  <w:style w:type="paragraph" w:customStyle="1" w:styleId="a1">
    <w:name w:val="样式 页眉"/>
    <w:basedOn w:val="En-tt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LgendeCar">
    <w:name w:val="Légende Car"/>
    <w:aliases w:val="cap Car,cap Char Car,Caption Char1 Char Car,cap Char Char1 Car,Caption Char Char1 Char Car,cap Char2 Car,Caption Char2 Car,Caption Char Char Char Car,Caption Char Char1 Car,fig and tbl Car,fighead2 Car,Table Caption Car,fighead21 Car"/>
    <w:link w:val="Lgend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En-tteCar">
    <w:name w:val="En-tête Car"/>
    <w:link w:val="En-tte"/>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orpsdetexteCar">
    <w:name w:val="Corps de texte Car"/>
    <w:link w:val="Corpsdetexte"/>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auNormal"/>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auNormal"/>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auNormal"/>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auNormal"/>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auNormal"/>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au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ParagraphedelisteCar">
    <w:name w:val="Paragraphe de liste Car"/>
    <w:aliases w:val="- Bullets Car,?? ?? Car,????? Car,???? Car,Lista1 Car,中等深浅网格 1 - 着色 21 Car,1st level - Bullet List Paragraph Car,Lettre d'introduction Car,Paragrafo elenco Car,Normal bullet 2 Car,Bullet list Car,Numbered List Car,Task Body Car"/>
    <w:link w:val="Paragraphedelist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Policepardfau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Corpsdetext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orpsdetexteC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Policepardfau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Rfrenceintense">
    <w:name w:val="Intense Reference"/>
    <w:basedOn w:val="Policepardfaut"/>
    <w:uiPriority w:val="32"/>
    <w:qFormat/>
    <w:rsid w:val="007152C7"/>
    <w:rPr>
      <w:b/>
      <w:bCs/>
      <w:smallCaps/>
      <w:color w:val="5B9BD5" w:themeColor="accent1"/>
      <w:spacing w:val="5"/>
    </w:rPr>
  </w:style>
  <w:style w:type="paragraph" w:styleId="Tabledesillustrations">
    <w:name w:val="table of figures"/>
    <w:basedOn w:val="Corpsdetexte"/>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NotedebasdepageCar">
    <w:name w:val="Note de bas de page Car"/>
    <w:link w:val="Notedebasdepage"/>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Policepardfau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CFF9132-6D80-430E-A465-AF5E3CE8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11223</Words>
  <Characters>63977</Characters>
  <Application>Microsoft Office Word</Application>
  <DocSecurity>0</DocSecurity>
  <Lines>533</Lines>
  <Paragraphs>150</Paragraphs>
  <ScaleCrop>false</ScaleCrop>
  <HeadingPairs>
    <vt:vector size="8" baseType="variant">
      <vt:variant>
        <vt:lpstr>Titre</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ZTE</Company>
  <LinksUpToDate>false</LinksUpToDate>
  <CharactersWithSpaces>75050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Chamaillard Baptiste</cp:lastModifiedBy>
  <cp:revision>3</cp:revision>
  <cp:lastPrinted>2011-11-09T07:49:00Z</cp:lastPrinted>
  <dcterms:created xsi:type="dcterms:W3CDTF">2021-01-26T15:47:00Z</dcterms:created>
  <dcterms:modified xsi:type="dcterms:W3CDTF">2021-01-26T15:50:00Z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