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proofErr w:type="spellStart"/>
            <w:r w:rsidRPr="00225343">
              <w:rPr>
                <w:rFonts w:hint="eastAsia"/>
                <w:u w:val="single"/>
              </w:rPr>
              <w:t>Fallback</w:t>
            </w:r>
            <w:proofErr w:type="spellEnd"/>
            <w:r w:rsidRPr="00225343">
              <w:rPr>
                <w:rFonts w:hint="eastAsia"/>
                <w:u w:val="single"/>
              </w:rPr>
              <w:t xml:space="preserve"> DCI</w:t>
            </w:r>
          </w:p>
          <w:p w14:paraId="50D1B775" w14:textId="77777777" w:rsidR="001C0F60" w:rsidRDefault="001C0F60" w:rsidP="001C0F60">
            <w:pPr>
              <w:snapToGrid w:val="0"/>
              <w:ind w:left="360"/>
            </w:pPr>
            <w:r>
              <w:t xml:space="preserve">We think that it is risky to re-interpretation DCI field for </w:t>
            </w:r>
            <w:proofErr w:type="spellStart"/>
            <w:r>
              <w:t>f</w:t>
            </w:r>
            <w:r>
              <w:rPr>
                <w:rFonts w:hint="eastAsia"/>
              </w:rPr>
              <w:t>allback</w:t>
            </w:r>
            <w:proofErr w:type="spellEnd"/>
            <w:r>
              <w:rPr>
                <w:rFonts w:hint="eastAsia"/>
              </w:rPr>
              <w:t xml:space="preserve">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hint="eastAsia"/>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hint="eastAsia"/>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w:t>
            </w:r>
            <w:r>
              <w:rPr>
                <w:rFonts w:eastAsiaTheme="minorEastAsia"/>
                <w:lang w:eastAsia="zh-CN"/>
              </w:rPr>
              <w:t xml:space="preserve"> </w:t>
            </w:r>
            <w:r>
              <w:rPr>
                <w:rFonts w:eastAsiaTheme="minorEastAsia"/>
                <w:lang w:eastAsia="zh-CN"/>
              </w:rPr>
              <w:t xml:space="preserve">DCI </w:t>
            </w:r>
            <w:r>
              <w:rPr>
                <w:lang w:eastAsia="zh-CN"/>
              </w:rPr>
              <w:t>0-0/1-0.</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lastRenderedPageBreak/>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f0"/>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lastRenderedPageBreak/>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f0"/>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f0"/>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f0"/>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f0"/>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hint="eastAsia"/>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w:t>
            </w:r>
            <w:r>
              <w:rPr>
                <w:rFonts w:eastAsiaTheme="minorEastAsia"/>
                <w:lang w:eastAsia="zh-CN"/>
              </w:rPr>
              <w:lastRenderedPageBreak/>
              <w:t xml:space="preserve">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f0"/>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hint="eastAsia"/>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No restriction:</w:t>
      </w:r>
      <w:r w:rsidR="00B7287A">
        <w:rPr>
          <w:lang w:eastAsia="x-none"/>
        </w:rPr>
        <w:t xml:space="preserve"> ZTE, vivo</w:t>
      </w:r>
      <w:r w:rsidR="00C34760">
        <w:rPr>
          <w:lang w:eastAsia="x-none"/>
        </w:rPr>
        <w:t>, Ericsson</w:t>
      </w:r>
      <w:r w:rsidR="00824B13">
        <w:rPr>
          <w:lang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等线"/>
          <w:b/>
          <w:i/>
          <w:u w:val="single"/>
        </w:rPr>
      </w:pPr>
      <w:r w:rsidRPr="002F3253">
        <w:rPr>
          <w:rFonts w:eastAsia="等线"/>
          <w:b/>
          <w:i/>
          <w:u w:val="single"/>
        </w:rPr>
        <w:lastRenderedPageBreak/>
        <w:t>P</w:t>
      </w:r>
      <w:r w:rsidRPr="002F3253">
        <w:rPr>
          <w:rFonts w:eastAsia="等线"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等线"/>
          <w:i/>
          <w:color w:val="000000"/>
        </w:rPr>
        <w:t>For any HARQ process ID</w:t>
      </w:r>
      <w:r w:rsidRPr="002F3253">
        <w:rPr>
          <w:rFonts w:eastAsia="等线" w:hint="eastAsia"/>
          <w:i/>
          <w:color w:val="000000"/>
        </w:rPr>
        <w:t>(</w:t>
      </w:r>
      <w:r w:rsidRPr="002F3253">
        <w:rPr>
          <w:rFonts w:eastAsia="等线"/>
          <w:i/>
          <w:color w:val="000000"/>
        </w:rPr>
        <w:t>s</w:t>
      </w:r>
      <w:r w:rsidRPr="002F3253">
        <w:rPr>
          <w:rFonts w:eastAsia="等线" w:hint="eastAsia"/>
          <w:i/>
          <w:color w:val="000000"/>
        </w:rPr>
        <w:t>)</w:t>
      </w:r>
      <w:r w:rsidRPr="002F3253">
        <w:rPr>
          <w:rFonts w:eastAsia="等线"/>
          <w:i/>
          <w:color w:val="000000"/>
        </w:rPr>
        <w:t xml:space="preserve"> in a given scheduled cell, the UE is not expected to</w:t>
      </w:r>
      <w:r w:rsidRPr="002F3253">
        <w:rPr>
          <w:rFonts w:eastAsia="等线" w:hint="eastAsia"/>
          <w:i/>
          <w:color w:val="000000"/>
        </w:rPr>
        <w:t xml:space="preserve"> receive</w:t>
      </w:r>
      <w:r w:rsidRPr="002F3253">
        <w:rPr>
          <w:rFonts w:eastAsia="等线"/>
          <w:i/>
          <w:color w:val="000000"/>
        </w:rPr>
        <w:t xml:space="preserve"> a P</w:t>
      </w:r>
      <w:r w:rsidRPr="002F3253">
        <w:rPr>
          <w:rFonts w:eastAsia="等线" w:hint="eastAsia"/>
          <w:i/>
          <w:color w:val="000000"/>
        </w:rPr>
        <w:t>D</w:t>
      </w:r>
      <w:r w:rsidRPr="002F3253">
        <w:rPr>
          <w:rFonts w:eastAsia="等线"/>
          <w:i/>
          <w:color w:val="000000"/>
        </w:rPr>
        <w:t xml:space="preserve">SCH that overlaps in time with </w:t>
      </w:r>
      <w:r w:rsidRPr="002F3253">
        <w:rPr>
          <w:rFonts w:eastAsia="等线" w:hint="eastAsia"/>
          <w:i/>
          <w:color w:val="000000"/>
        </w:rPr>
        <w:t>another</w:t>
      </w:r>
      <w:r w:rsidRPr="002F3253">
        <w:rPr>
          <w:rFonts w:eastAsia="等线"/>
          <w:i/>
          <w:color w:val="000000"/>
        </w:rPr>
        <w:t xml:space="preserve"> P</w:t>
      </w:r>
      <w:r w:rsidRPr="002F3253">
        <w:rPr>
          <w:rFonts w:eastAsia="等线" w:hint="eastAsia"/>
          <w:i/>
          <w:color w:val="000000"/>
        </w:rPr>
        <w:t>D</w:t>
      </w:r>
      <w:r w:rsidRPr="002F3253">
        <w:rPr>
          <w:rFonts w:eastAsia="等线"/>
          <w:i/>
          <w:color w:val="000000"/>
        </w:rPr>
        <w:t>SCH.</w:t>
      </w:r>
      <w:r w:rsidRPr="002F3253">
        <w:rPr>
          <w:rFonts w:eastAsia="等线"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f0"/>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f0"/>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f0"/>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宋体" w:hAnsi="宋体" w:cs="宋体"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A64E62">
            <w:pPr>
              <w:jc w:val="center"/>
              <w:rPr>
                <w:b/>
                <w:sz w:val="28"/>
                <w:lang w:eastAsia="zh-CN"/>
              </w:rPr>
            </w:pPr>
            <w:r w:rsidRPr="008D3FED">
              <w:rPr>
                <w:b/>
                <w:sz w:val="22"/>
                <w:lang w:eastAsia="zh-CN"/>
              </w:rPr>
              <w:t>Comments and Views</w:t>
            </w:r>
          </w:p>
        </w:tc>
      </w:tr>
      <w:tr w:rsidR="009D1234" w14:paraId="31986403"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rsidP="00A64E62">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rsidP="00A64E62">
            <w:pPr>
              <w:snapToGrid w:val="0"/>
              <w:ind w:left="360"/>
              <w:rPr>
                <w:rFonts w:eastAsia="MS Mincho"/>
                <w:lang w:eastAsia="ja-JP"/>
              </w:rPr>
            </w:pPr>
            <w:r>
              <w:rPr>
                <w:rFonts w:eastAsia="MS Mincho"/>
                <w:lang w:eastAsia="ja-JP"/>
              </w:rPr>
              <w:t xml:space="preserve">Support proposal 3. </w:t>
            </w:r>
          </w:p>
        </w:tc>
      </w:tr>
      <w:tr w:rsidR="001C0F60" w14:paraId="207ED92F"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rsidP="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t>
            </w:r>
            <w:r>
              <w:rPr>
                <w:rFonts w:eastAsiaTheme="minorEastAsia"/>
                <w:lang w:eastAsia="zh-CN"/>
              </w:rPr>
              <w:lastRenderedPageBreak/>
              <w:t xml:space="preserve">when it comes to FL’s proposal to further relax this time to Tproc,1, as a UE vendor, we are fine with this proposal.  </w:t>
            </w:r>
          </w:p>
        </w:tc>
      </w:tr>
      <w:tr w:rsidR="00AD5600" w14:paraId="2F387F95"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rsidP="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rsidP="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rsidP="00761A21">
            <w:pPr>
              <w:jc w:val="center"/>
              <w:rPr>
                <w:rFonts w:eastAsia="Malgun Gothic" w:cs="Arial" w:hint="eastAsia"/>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rsidP="00761A21">
            <w:pPr>
              <w:snapToGrid w:val="0"/>
              <w:ind w:left="360"/>
              <w:rPr>
                <w:rFonts w:eastAsia="Malgun Gothic" w:hint="eastAsia"/>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bl>
    <w:p w14:paraId="04FE9F88" w14:textId="77777777" w:rsidR="00831690" w:rsidRDefault="00F36C79" w:rsidP="00831690">
      <w:pPr>
        <w:spacing w:beforeLines="50" w:before="120" w:after="120"/>
        <w:ind w:leftChars="100" w:left="200"/>
        <w:rPr>
          <w:lang w:eastAsia="x-none"/>
        </w:rPr>
      </w:pPr>
      <w:r w:rsidRPr="005924C7">
        <w:rPr>
          <w:lang w:eastAsia="x-none"/>
        </w:rPr>
        <w:t xml:space="preserve">Moreover, according to the recommendation in the FL summary is last meeting, </w:t>
      </w:r>
      <w:r w:rsidRPr="005924C7">
        <w:rPr>
          <w:b/>
          <w:i/>
          <w:lang w:eastAsia="x-none"/>
        </w:rPr>
        <w:t xml:space="preserve">further views from </w:t>
      </w:r>
      <w:r w:rsidR="00011E20" w:rsidRPr="005924C7">
        <w:rPr>
          <w:b/>
          <w:i/>
          <w:lang w:eastAsia="x-none"/>
        </w:rPr>
        <w:t>5</w:t>
      </w:r>
      <w:r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Pr="005924C7">
        <w:rPr>
          <w:b/>
          <w:i/>
          <w:lang w:eastAsia="x-none"/>
        </w:rPr>
        <w:t>summarized</w:t>
      </w:r>
      <w:r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等线" w:hAnsi="Times New Roman"/>
          <w:i/>
          <w:color w:val="000000"/>
          <w:sz w:val="20"/>
          <w:szCs w:val="20"/>
        </w:rPr>
      </w:pPr>
      <w:r w:rsidRPr="00EC13AF">
        <w:rPr>
          <w:rFonts w:ascii="Times New Roman" w:eastAsia="等线"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等线" w:hAnsi="Times New Roman"/>
          <w:i/>
          <w:color w:val="000000"/>
          <w:sz w:val="20"/>
          <w:szCs w:val="20"/>
        </w:rPr>
        <w:t xml:space="preserve">L2 is defined as the next uplink symbol with its CP starting </w:t>
      </w:r>
      <w:bookmarkStart w:id="3" w:name="_Hlk45746554"/>
      <w:bookmarkEnd w:id="3"/>
      <w:r w:rsidRPr="00EC13AF">
        <w:rPr>
          <w:rFonts w:ascii="Times New Roman" w:eastAsia="等线" w:hAnsi="Times New Roman"/>
          <w:i/>
          <w:color w:val="000000"/>
          <w:sz w:val="20"/>
          <w:szCs w:val="20"/>
        </w:rPr>
        <w:t xml:space="preserve"> </w:t>
      </w:r>
      <m:oMath>
        <m:sSub>
          <m:sSubPr>
            <m:ctrlPr>
              <w:rPr>
                <w:rFonts w:ascii="Cambria Math" w:eastAsia="等线" w:hAnsi="Cambria Math"/>
                <w:i/>
                <w:color w:val="000000"/>
                <w:sz w:val="20"/>
                <w:szCs w:val="20"/>
              </w:rPr>
            </m:ctrlPr>
          </m:sSubPr>
          <m:e>
            <m:r>
              <w:rPr>
                <w:rFonts w:ascii="Cambria Math" w:eastAsia="等线" w:hAnsi="Cambria Math"/>
                <w:color w:val="000000"/>
                <w:sz w:val="20"/>
                <w:szCs w:val="20"/>
              </w:rPr>
              <m:t>T</m:t>
            </m:r>
          </m:e>
          <m:sub>
            <m:r>
              <w:rPr>
                <w:rFonts w:ascii="Cambria Math" w:eastAsia="等线" w:hAnsi="Cambria Math"/>
                <w:color w:val="000000"/>
                <w:sz w:val="20"/>
                <w:szCs w:val="20"/>
              </w:rPr>
              <m:t>proc,2</m:t>
            </m:r>
          </m:sub>
        </m:sSub>
      </m:oMath>
      <w:r w:rsidRPr="00EC13AF">
        <w:rPr>
          <w:rFonts w:ascii="Times New Roman" w:eastAsia="等线"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e"/>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53523C50"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gNB does not have knowledge of exact UE-specific TA or UE specific RTT every time it schedules a PUSCH. Thus, the gNB might not be able to ensure this timing relationship. Therefore, with this restriction, it imposes the gNB to wait for a longer time to avoid this scheduling error case, contradicting the expected benefits from HARQ disabling. </w:t>
            </w:r>
          </w:p>
        </w:tc>
      </w:tr>
      <w:tr w:rsidR="00761A21"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2854EA6E" w:rsidR="00761A21" w:rsidRDefault="00761A21" w:rsidP="00761A21">
            <w:pPr>
              <w:jc w:val="center"/>
              <w:rPr>
                <w:rFonts w:cs="Arial"/>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5CB24A89"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xml:space="preserve">. But there should </w:t>
            </w:r>
            <w:r>
              <w:rPr>
                <w:rFonts w:eastAsiaTheme="minorEastAsia"/>
                <w:lang w:eastAsia="zh-CN"/>
              </w:rPr>
              <w:lastRenderedPageBreak/>
              <w:t>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77777777" w:rsidR="001C0F60" w:rsidRDefault="001C0F60" w:rsidP="001C0F6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77777777" w:rsidR="001C0F60" w:rsidRDefault="001C0F60" w:rsidP="001C0F60">
            <w:pPr>
              <w:snapToGrid w:val="0"/>
              <w:ind w:left="360"/>
            </w:pP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e"/>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31DC4F8D" w14:textId="25CA4A0F" w:rsidR="004D26C4" w:rsidRPr="004D26C4" w:rsidRDefault="004D26C4" w:rsidP="00855278">
      <w:pPr>
        <w:pStyle w:val="ae"/>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c"/>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c"/>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ae"/>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[CATT] highlights scheduling with feedback enabled HARQ process should be considered for SPS release and [Sony] prefer to allow the UE to conduct the ACK-NACK feedback even scheduled with feedback disabled HARQ process. [ZTE, CAICT] mention that the corresponding scheduling is up to gNB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宋体"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MS Mincho"/>
                <w:lang w:eastAsia="ja-JP"/>
              </w:rPr>
            </w:pPr>
            <w:r>
              <w:rPr>
                <w:rFonts w:eastAsia="MS Mincho"/>
                <w:lang w:eastAsia="ja-JP"/>
              </w:rPr>
              <w:t>Above options assumes gNB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w:t>
            </w:r>
            <w:r w:rsidR="00C92919">
              <w:rPr>
                <w:rFonts w:eastAsia="MS Mincho"/>
                <w:lang w:eastAsia="ja-JP"/>
              </w:rPr>
              <w:lastRenderedPageBreak/>
              <w:t>up to gNB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6D6B424E"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AC CE and SPS release is up to gNB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lastRenderedPageBreak/>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3E47BDC8" w:rsidR="00761A21" w:rsidRDefault="00761A21" w:rsidP="00761A21">
            <w:pPr>
              <w:jc w:val="center"/>
              <w:rPr>
                <w:rFonts w:eastAsia="Malgun Gothic" w:cs="Arial" w:hint="eastAsia"/>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e"/>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lastRenderedPageBreak/>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f0"/>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hint="eastAsia"/>
                <w:lang w:eastAsia="ko-KR"/>
              </w:rPr>
            </w:pPr>
            <w:bookmarkStart w:id="4" w:name="_GoBack" w:colFirst="0" w:colLast="1"/>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hint="eastAsia"/>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bl>
    <w:bookmarkEnd w:id="4"/>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e"/>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lastRenderedPageBreak/>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ko-KR"/>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ko-KR"/>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595AAA">
              <w:rPr>
                <w:position w:val="-12"/>
              </w:rPr>
              <w:pict w14:anchorId="559CC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6.9pt">
                  <v:imagedata r:id="rId13" o:title=""/>
                </v:shape>
              </w:pict>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lastRenderedPageBreak/>
              <w:t>Proposal 4: For Type-2 HARQ codebook, support Option-2: No enhancements.</w:t>
            </w:r>
          </w:p>
          <w:p w14:paraId="48BDE01E"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ae"/>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e"/>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f0"/>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f0"/>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lastRenderedPageBreak/>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lastRenderedPageBreak/>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f0"/>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f0"/>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f0"/>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f0"/>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f0"/>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lastRenderedPageBreak/>
              <w:t>Observation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7"/>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The value of X should be less than </w:t>
            </w:r>
            <m:oMath>
              <m:r>
                <m:rPr>
                  <m:sty m:val="b"/>
                </m:rPr>
                <w:rPr>
                  <w:rStyle w:val="afc"/>
                  <w:rFonts w:ascii="Cambria Math" w:hAnsi="Cambria Math" w:cs="Times New Roman"/>
                  <w:noProof/>
                  <w:color w:val="000000" w:themeColor="text1"/>
                  <w:sz w:val="20"/>
                  <w:szCs w:val="20"/>
                  <w:u w:val="none"/>
                </w:rPr>
                <m:t>Tproc,1</m:t>
              </m:r>
            </m:oMath>
            <w:r w:rsidRPr="00764EA0">
              <w:rPr>
                <w:rStyle w:val="afc"/>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7"/>
              <w:tabs>
                <w:tab w:val="right" w:leader="dot" w:pos="9629"/>
              </w:tabs>
              <w:adjustRightInd w:val="0"/>
              <w:snapToGrid w:val="0"/>
              <w:spacing w:after="0"/>
              <w:rPr>
                <w:rFonts w:ascii="Times New Roman" w:hAnsi="Times New Roman" w:cs="Times New Roman"/>
                <w:b w:val="0"/>
                <w:sz w:val="20"/>
                <w:szCs w:val="20"/>
              </w:rPr>
            </w:pPr>
            <w:r w:rsidRPr="00764EA0">
              <w:rPr>
                <w:rStyle w:val="afc"/>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c"/>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afc"/>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c"/>
                <w:color w:val="000000" w:themeColor="text1"/>
                <w:sz w:val="20"/>
                <w:u w:val="none"/>
                <w:lang w:eastAsia="zh-TW"/>
              </w:rPr>
              <w:t xml:space="preserve">Reuse </w:t>
            </w:r>
            <m:oMath>
              <m:r>
                <m:rPr>
                  <m:sty m:val="p"/>
                </m:rPr>
                <w:rPr>
                  <w:rStyle w:val="afc"/>
                  <w:rFonts w:ascii="Cambria Math" w:hAnsi="Cambria Math"/>
                  <w:color w:val="000000" w:themeColor="text1"/>
                  <w:sz w:val="20"/>
                  <w:u w:val="none"/>
                  <w:lang w:eastAsia="zh-TW"/>
                </w:rPr>
                <m:t>Tproc,1</m:t>
              </m:r>
            </m:oMath>
            <w:r w:rsidRPr="00764EA0">
              <w:rPr>
                <w:rStyle w:val="afc"/>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c"/>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c"/>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c"/>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c"/>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c"/>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c"/>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afc"/>
                <w:color w:val="000000" w:themeColor="text1"/>
                <w:sz w:val="20"/>
                <w:u w:val="none"/>
              </w:rPr>
              <w:t>Proposal 8</w:t>
            </w:r>
            <w:r w:rsidRPr="00764EA0">
              <w:rPr>
                <w:rFonts w:eastAsiaTheme="minorEastAsia"/>
                <w:color w:val="000000" w:themeColor="text1"/>
                <w:sz w:val="20"/>
                <w:lang w:eastAsia="zh-TW"/>
              </w:rPr>
              <w:tab/>
            </w:r>
            <w:r w:rsidRPr="00764EA0">
              <w:rPr>
                <w:rStyle w:val="afc"/>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f0"/>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gNB cannot distinguish between just proper parameter and too reliable parameter, if the slot aggregation is used. </w:t>
            </w:r>
          </w:p>
          <w:p w14:paraId="20B89AAE"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gNB cannot optimally react to some cases, if the slot aggregation is used.</w:t>
            </w:r>
          </w:p>
          <w:p w14:paraId="46F28BC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f0"/>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f0"/>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combination of the above</w:t>
            </w:r>
          </w:p>
          <w:p w14:paraId="73857A05"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f0"/>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lastRenderedPageBreak/>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lastRenderedPageBreak/>
              <w:t>n is the slot number during which the DCI was first transmitted</w:t>
            </w:r>
          </w:p>
          <w:p w14:paraId="72AF6F47" w14:textId="313727D4"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f0"/>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f0"/>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f0"/>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AEA0" w14:textId="77777777" w:rsidR="00595AAA" w:rsidRDefault="00595AAA">
      <w:pPr>
        <w:spacing w:after="0"/>
      </w:pPr>
      <w:r>
        <w:separator/>
      </w:r>
    </w:p>
  </w:endnote>
  <w:endnote w:type="continuationSeparator" w:id="0">
    <w:p w14:paraId="3A3C25F9" w14:textId="77777777" w:rsidR="00595AAA" w:rsidRDefault="00595A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20500000000000000"/>
    <w:charset w:val="88"/>
    <w:family w:val="roman"/>
    <w:pitch w:val="variable"/>
    <w:sig w:usb0="00000003" w:usb1="08080000" w:usb2="00000010" w:usb3="00000000" w:csb0="00100001" w:csb1="00000000"/>
  </w:font>
  <w:font w:name="黑体">
    <w:altName w:val="SimHei"/>
    <w:panose1 w:val="02010609060101010101"/>
    <w:charset w:val="86"/>
    <w:family w:val="modern"/>
    <w:pitch w:val="fixed"/>
    <w:sig w:usb0="00000003" w:usb1="08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A64E62" w:rsidRDefault="00A64E62">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A64E62" w:rsidRDefault="00A64E6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7777777" w:rsidR="00A64E62" w:rsidRDefault="00A64E62">
    <w:pPr>
      <w:pStyle w:val="af1"/>
      <w:ind w:right="360"/>
    </w:pPr>
    <w:r>
      <w:rPr>
        <w:rStyle w:val="af9"/>
      </w:rPr>
      <w:fldChar w:fldCharType="begin"/>
    </w:r>
    <w:r>
      <w:rPr>
        <w:rStyle w:val="af9"/>
      </w:rPr>
      <w:instrText xml:space="preserve"> PAGE </w:instrText>
    </w:r>
    <w:r>
      <w:rPr>
        <w:rStyle w:val="af9"/>
      </w:rPr>
      <w:fldChar w:fldCharType="separate"/>
    </w:r>
    <w:r w:rsidR="008F72D4">
      <w:rPr>
        <w:rStyle w:val="af9"/>
        <w:noProof/>
      </w:rPr>
      <w:t>20</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8F72D4">
      <w:rPr>
        <w:rStyle w:val="af9"/>
        <w:noProof/>
      </w:rPr>
      <w:t>20</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4AD94" w14:textId="77777777" w:rsidR="00595AAA" w:rsidRDefault="00595AAA">
      <w:pPr>
        <w:spacing w:after="0"/>
      </w:pPr>
      <w:r>
        <w:separator/>
      </w:r>
    </w:p>
  </w:footnote>
  <w:footnote w:type="continuationSeparator" w:id="0">
    <w:p w14:paraId="514BF3DA" w14:textId="77777777" w:rsidR="00595AAA" w:rsidRDefault="00595A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A64E62" w:rsidRDefault="00A64E6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宋体"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1" w15:restartNumberingAfterBreak="0">
    <w:nsid w:val="1B8A28E8"/>
    <w:multiLevelType w:val="hybridMultilevel"/>
    <w:tmpl w:val="C9AC6E7E"/>
    <w:lvl w:ilvl="0" w:tplc="6CAC5E3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4"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5"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0"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1"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宋体"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8"/>
  </w:num>
  <w:num w:numId="2">
    <w:abstractNumId w:val="5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1"/>
  </w:num>
  <w:num w:numId="6">
    <w:abstractNumId w:val="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13"/>
  </w:num>
  <w:num w:numId="10">
    <w:abstractNumId w:val="12"/>
  </w:num>
  <w:num w:numId="11">
    <w:abstractNumId w:val="49"/>
  </w:num>
  <w:num w:numId="12">
    <w:abstractNumId w:val="51"/>
  </w:num>
  <w:num w:numId="13">
    <w:abstractNumId w:val="33"/>
  </w:num>
  <w:num w:numId="14">
    <w:abstractNumId w:val="15"/>
  </w:num>
  <w:num w:numId="15">
    <w:abstractNumId w:val="9"/>
  </w:num>
  <w:num w:numId="16">
    <w:abstractNumId w:val="20"/>
  </w:num>
  <w:num w:numId="17">
    <w:abstractNumId w:val="26"/>
  </w:num>
  <w:num w:numId="18">
    <w:abstractNumId w:val="29"/>
  </w:num>
  <w:num w:numId="19">
    <w:abstractNumId w:val="14"/>
  </w:num>
  <w:num w:numId="20">
    <w:abstractNumId w:val="56"/>
  </w:num>
  <w:num w:numId="21">
    <w:abstractNumId w:val="36"/>
  </w:num>
  <w:num w:numId="22">
    <w:abstractNumId w:val="4"/>
  </w:num>
  <w:num w:numId="23">
    <w:abstractNumId w:val="17"/>
  </w:num>
  <w:num w:numId="24">
    <w:abstractNumId w:val="55"/>
  </w:num>
  <w:num w:numId="25">
    <w:abstractNumId w:val="53"/>
  </w:num>
  <w:num w:numId="26">
    <w:abstractNumId w:val="23"/>
  </w:num>
  <w:num w:numId="27">
    <w:abstractNumId w:val="50"/>
  </w:num>
  <w:num w:numId="28">
    <w:abstractNumId w:val="6"/>
  </w:num>
  <w:num w:numId="29">
    <w:abstractNumId w:val="10"/>
  </w:num>
  <w:num w:numId="30">
    <w:abstractNumId w:val="48"/>
  </w:num>
  <w:num w:numId="31">
    <w:abstractNumId w:val="52"/>
  </w:num>
  <w:num w:numId="32">
    <w:abstractNumId w:val="21"/>
  </w:num>
  <w:num w:numId="33">
    <w:abstractNumId w:val="11"/>
  </w:num>
  <w:num w:numId="34">
    <w:abstractNumId w:val="47"/>
  </w:num>
  <w:num w:numId="35">
    <w:abstractNumId w:val="8"/>
  </w:num>
  <w:num w:numId="36">
    <w:abstractNumId w:val="24"/>
  </w:num>
  <w:num w:numId="37">
    <w:abstractNumId w:val="39"/>
  </w:num>
  <w:num w:numId="38">
    <w:abstractNumId w:val="28"/>
  </w:num>
  <w:num w:numId="39">
    <w:abstractNumId w:val="31"/>
  </w:num>
  <w:num w:numId="40">
    <w:abstractNumId w:val="5"/>
  </w:num>
  <w:num w:numId="41">
    <w:abstractNumId w:val="42"/>
  </w:num>
  <w:num w:numId="42">
    <w:abstractNumId w:val="35"/>
  </w:num>
  <w:num w:numId="43">
    <w:abstractNumId w:val="16"/>
  </w:num>
  <w:num w:numId="44">
    <w:abstractNumId w:val="22"/>
  </w:num>
  <w:num w:numId="45">
    <w:abstractNumId w:val="45"/>
  </w:num>
  <w:num w:numId="46">
    <w:abstractNumId w:val="37"/>
  </w:num>
  <w:num w:numId="47">
    <w:abstractNumId w:val="27"/>
  </w:num>
  <w:num w:numId="48">
    <w:abstractNumId w:val="3"/>
  </w:num>
  <w:num w:numId="49">
    <w:abstractNumId w:val="19"/>
  </w:num>
  <w:num w:numId="50">
    <w:abstractNumId w:val="43"/>
  </w:num>
  <w:num w:numId="51">
    <w:abstractNumId w:val="34"/>
  </w:num>
  <w:num w:numId="52">
    <w:abstractNumId w:val="40"/>
  </w:num>
  <w:num w:numId="53">
    <w:abstractNumId w:val="46"/>
  </w:num>
  <w:num w:numId="54">
    <w:abstractNumId w:val="2"/>
  </w:num>
  <w:num w:numId="55">
    <w:abstractNumId w:val="32"/>
  </w:num>
  <w:num w:numId="56">
    <w:abstractNumId w:val="44"/>
  </w:num>
  <w:num w:numId="57">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648"/>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C51920"/>
  <w15:docId w15:val="{240B6A6B-494B-45F0-BF83-A120061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11"/>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rPr>
  </w:style>
  <w:style w:type="paragraph" w:styleId="af6">
    <w:name w:val="footnote text"/>
    <w:basedOn w:val="a1"/>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8">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5">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リスト段落,목록 단락,목록단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a8">
    <w:name w:val="批注文字 字符"/>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页脚 字符"/>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题注 字符"/>
    <w:aliases w:val="cap 字符,cap Char 字符,Caption Char1 Char 字符,cap Char Char1 字符,Caption Char Char1 Char 字符,cap Char2 字符,Caption Char2 字符,Caption Char Char Char 字符,Caption Char Char1 字符,fig and tbl 字符,fighead2 字符,Table Caption 字符,fighead21 字符,fighead22 字符,fighead23 字符"/>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11">
    <w:name w:val="页眉 字符1"/>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正文文本 字符"/>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aff1">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列表段落1 字符"/>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f4">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af"/>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6">
    <w:name w:val="Intense Reference"/>
    <w:basedOn w:val="a2"/>
    <w:uiPriority w:val="32"/>
    <w:qFormat/>
    <w:rsid w:val="007152C7"/>
    <w:rPr>
      <w:b/>
      <w:bCs/>
      <w:smallCaps/>
      <w:color w:val="5B9BD5" w:themeColor="accent1"/>
      <w:spacing w:val="5"/>
    </w:rPr>
  </w:style>
  <w:style w:type="paragraph" w:styleId="aff7">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7">
    <w:name w:val="脚注文本 字符"/>
    <w:link w:val="af6"/>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E19E441-FF22-4D8F-AD77-E0C11338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21</Pages>
  <Words>10573</Words>
  <Characters>60271</Characters>
  <Application>Microsoft Office Word</Application>
  <DocSecurity>0</DocSecurity>
  <Lines>502</Lines>
  <Paragraphs>141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ZTE</Company>
  <LinksUpToDate>false</LinksUpToDate>
  <CharactersWithSpaces>70703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王勇-5G</cp:lastModifiedBy>
  <cp:revision>6</cp:revision>
  <cp:lastPrinted>2011-11-09T07:49:00Z</cp:lastPrinted>
  <dcterms:created xsi:type="dcterms:W3CDTF">2021-01-26T11:26:00Z</dcterms:created>
  <dcterms:modified xsi:type="dcterms:W3CDTF">2021-01-26T11:35:00Z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