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5C8DC084"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proofErr w:type="spellStart"/>
      <w:r w:rsidR="009E0F31" w:rsidRPr="00947DB3">
        <w:rPr>
          <w:rFonts w:ascii="Times New Roman" w:eastAsiaTheme="minorEastAsia" w:hAnsi="Times New Roman"/>
          <w:sz w:val="20"/>
          <w:szCs w:val="20"/>
          <w:lang w:eastAsia="zh-CN"/>
        </w:rPr>
        <w:t>InterDigital</w:t>
      </w:r>
      <w:proofErr w:type="spellEnd"/>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proofErr w:type="spellStart"/>
            <w:r w:rsidRPr="00225343">
              <w:rPr>
                <w:rFonts w:hint="eastAsia"/>
                <w:u w:val="single"/>
              </w:rPr>
              <w:t>Fallback</w:t>
            </w:r>
            <w:proofErr w:type="spellEnd"/>
            <w:r w:rsidRPr="00225343">
              <w:rPr>
                <w:rFonts w:hint="eastAsia"/>
                <w:u w:val="single"/>
              </w:rPr>
              <w:t xml:space="preserve"> DCI</w:t>
            </w:r>
          </w:p>
          <w:p w14:paraId="50D1B775" w14:textId="77777777" w:rsidR="001C0F60" w:rsidRDefault="001C0F60" w:rsidP="001C0F60">
            <w:pPr>
              <w:snapToGrid w:val="0"/>
              <w:ind w:left="360"/>
            </w:pPr>
            <w:r>
              <w:t xml:space="preserve">We think that it is risky to re-interpretation DCI field for </w:t>
            </w:r>
            <w:proofErr w:type="spellStart"/>
            <w:r>
              <w:t>f</w:t>
            </w:r>
            <w:r>
              <w:rPr>
                <w:rFonts w:hint="eastAsia"/>
              </w:rPr>
              <w:t>allback</w:t>
            </w:r>
            <w:proofErr w:type="spellEnd"/>
            <w:r>
              <w:rPr>
                <w:rFonts w:hint="eastAsia"/>
              </w:rPr>
              <w:t xml:space="preserve">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hint="eastAsia"/>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rFonts w:hint="eastAsia"/>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bl>
    <w:p w14:paraId="196EEE24" w14:textId="77777777" w:rsidR="00CF0639" w:rsidRDefault="00CF0639"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lastRenderedPageBreak/>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proofErr w:type="spellStart"/>
      <w:r w:rsidR="009E0F31">
        <w:rPr>
          <w:rFonts w:ascii="Times New Roman" w:eastAsiaTheme="minorEastAsia" w:hAnsi="Times New Roman"/>
          <w:sz w:val="20"/>
          <w:szCs w:val="20"/>
          <w:lang w:eastAsia="zh-CN"/>
        </w:rPr>
        <w:t>InterDigital</w:t>
      </w:r>
      <w:proofErr w:type="spellEnd"/>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proofErr w:type="spellStart"/>
      <w:r w:rsidR="009A7394">
        <w:rPr>
          <w:rFonts w:ascii="Times New Roman" w:eastAsiaTheme="minorEastAsia" w:hAnsi="Times New Roman"/>
          <w:sz w:val="20"/>
          <w:szCs w:val="20"/>
          <w:lang w:eastAsia="zh-CN"/>
        </w:rPr>
        <w:t>InterDigital</w:t>
      </w:r>
      <w:proofErr w:type="spellEnd"/>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w:t>
      </w:r>
      <w:proofErr w:type="spellStart"/>
      <w:r w:rsidR="0054653E">
        <w:rPr>
          <w:rFonts w:ascii="Times New Roman" w:eastAsiaTheme="minorEastAsia" w:hAnsi="Times New Roman"/>
          <w:sz w:val="20"/>
          <w:szCs w:val="20"/>
          <w:lang w:eastAsia="zh-CN"/>
        </w:rPr>
        <w:t>Qaulcomm</w:t>
      </w:r>
      <w:proofErr w:type="spellEnd"/>
    </w:p>
    <w:p w14:paraId="4A708D80" w14:textId="74F711AE" w:rsidR="000024CE" w:rsidRDefault="000024CE" w:rsidP="00230409">
      <w:pPr>
        <w:pStyle w:val="afa"/>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r w:rsidRPr="00520FD0">
        <w:rPr>
          <w:rFonts w:ascii="Times New Roman" w:eastAsiaTheme="minorEastAsia" w:hAnsi="Times New Roman"/>
          <w:sz w:val="20"/>
          <w:szCs w:val="20"/>
          <w:lang w:eastAsia="zh-CN"/>
        </w:rPr>
        <w:t>i.e.</w:t>
      </w:r>
      <w:proofErr w:type="gramStart"/>
      <w:r w:rsidRPr="00520FD0">
        <w:rPr>
          <w:rFonts w:ascii="Times New Roman" w:eastAsiaTheme="minorEastAsia" w:hAnsi="Times New Roman"/>
          <w:sz w:val="20"/>
          <w:szCs w:val="20"/>
          <w:lang w:eastAsia="zh-CN"/>
        </w:rPr>
        <w:t>,the</w:t>
      </w:r>
      <w:proofErr w:type="spellEnd"/>
      <w:proofErr w:type="gram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r w:rsidRPr="00520FD0">
        <w:rPr>
          <w:rFonts w:ascii="Times New Roman" w:eastAsiaTheme="minorEastAsia" w:hAnsi="Times New Roman"/>
          <w:sz w:val="20"/>
          <w:szCs w:val="20"/>
          <w:lang w:eastAsia="zh-CN"/>
        </w:rPr>
        <w:t>i.e.,the</w:t>
      </w:r>
      <w:proofErr w:type="spell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afa"/>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lastRenderedPageBreak/>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afa"/>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afa"/>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hint="eastAsia"/>
              </w:rPr>
            </w:pPr>
            <w:r>
              <w:rPr>
                <w:rFonts w:eastAsia="맑은 고딕"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맑은 고딕"/>
                <w:lang w:eastAsia="ko-KR"/>
              </w:rPr>
            </w:pPr>
            <w:r>
              <w:rPr>
                <w:rFonts w:eastAsia="맑은 고딕" w:hint="eastAsia"/>
                <w:lang w:eastAsia="ko-KR"/>
              </w:rPr>
              <w:t>We are gen</w:t>
            </w:r>
            <w:bookmarkStart w:id="2" w:name="_GoBack"/>
            <w:bookmarkEnd w:id="2"/>
            <w:r>
              <w:rPr>
                <w:rFonts w:eastAsia="맑은 고딕" w:hint="eastAsia"/>
                <w:lang w:eastAsia="ko-KR"/>
              </w:rPr>
              <w:t>era</w:t>
            </w:r>
            <w:r>
              <w:rPr>
                <w:rFonts w:eastAsia="맑은 고딕"/>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afa"/>
              <w:numPr>
                <w:ilvl w:val="0"/>
                <w:numId w:val="57"/>
              </w:numPr>
              <w:snapToGrid w:val="0"/>
            </w:pPr>
            <w:r w:rsidRPr="008F72D4">
              <w:rPr>
                <w:rFonts w:ascii="Times New Roman" w:eastAsia="맑은 고딕" w:hAnsi="Times New Roman"/>
                <w:sz w:val="20"/>
                <w:szCs w:val="20"/>
                <w:lang w:val="en-GB" w:eastAsia="ko-KR"/>
              </w:rPr>
              <w:t xml:space="preserve">UE feedback actual ACK/NACK information even in case of HARQ feedback-disabled, and </w:t>
            </w:r>
            <w:proofErr w:type="spellStart"/>
            <w:r w:rsidRPr="008F72D4">
              <w:rPr>
                <w:rFonts w:ascii="Times New Roman" w:eastAsia="맑은 고딕" w:hAnsi="Times New Roman"/>
                <w:sz w:val="20"/>
                <w:szCs w:val="20"/>
                <w:lang w:val="en-GB" w:eastAsia="ko-KR"/>
              </w:rPr>
              <w:t>gNB</w:t>
            </w:r>
            <w:proofErr w:type="spellEnd"/>
            <w:r w:rsidRPr="008F72D4">
              <w:rPr>
                <w:rFonts w:ascii="Times New Roman" w:eastAsia="맑은 고딕" w:hAnsi="Times New Roman"/>
                <w:sz w:val="20"/>
                <w:szCs w:val="20"/>
                <w:lang w:val="en-GB" w:eastAsia="ko-KR"/>
              </w:rPr>
              <w:t xml:space="preserve"> still can configure actual “PRI/K1” value. Is it correct understanding? Then, it seems contradicting the meaning of HARQ feedback disabling.</w:t>
            </w:r>
          </w:p>
        </w:tc>
      </w:tr>
    </w:tbl>
    <w:p w14:paraId="58197E2B" w14:textId="77777777" w:rsidR="005F2788" w:rsidRPr="00687220"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lastRenderedPageBreak/>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w:t>
      </w:r>
      <w:proofErr w:type="gramStart"/>
      <w:r w:rsidRPr="00524314">
        <w:rPr>
          <w:lang w:eastAsia="zh-CN"/>
        </w:rPr>
        <w:t>,1</w:t>
      </w:r>
      <w:proofErr w:type="gramEnd"/>
      <w:r w:rsidRPr="00524314">
        <w:rPr>
          <w:lang w:eastAsia="zh-CN"/>
        </w:rPr>
        <w:t xml:space="preserve">, </w:t>
      </w:r>
      <w:proofErr w:type="spellStart"/>
      <w:r w:rsidRPr="00524314">
        <w:rPr>
          <w:lang w:eastAsia="zh-CN"/>
        </w:rPr>
        <w:t>Tslot</w:t>
      </w:r>
      <w:proofErr w:type="spellEnd"/>
      <w:r w:rsidRPr="00524314">
        <w:rPr>
          <w:lang w:eastAsia="zh-CN"/>
        </w:rPr>
        <w:t>*k) where k is the minimum of minimum of  </w:t>
      </w:r>
      <w:r w:rsidRPr="00702E95">
        <w:rPr>
          <w:i/>
          <w:lang w:eastAsia="zh-CN"/>
        </w:rPr>
        <w:t>dl-</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No restriction:</w:t>
      </w:r>
      <w:r w:rsidR="00B7287A">
        <w:rPr>
          <w:lang w:eastAsia="x-none"/>
        </w:rPr>
        <w:t xml:space="preserve"> ZTE, vivo</w:t>
      </w:r>
      <w:r w:rsidR="00C34760">
        <w:rPr>
          <w:lang w:eastAsia="x-none"/>
        </w:rPr>
        <w:t>, Ericsson</w:t>
      </w:r>
      <w:r w:rsidR="00824B13">
        <w:rPr>
          <w:lang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in a given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UE side, same HARQ process can be reused only after the transmission of HARQ-ACK with corresponding timing, which means that at gNB side, scheduling over one HARQ process is only available once the HARQ-ACK information of previous scheduling for given HARQ process is received.</w:t>
      </w:r>
    </w:p>
    <w:p w14:paraId="27322E68" w14:textId="07E43368"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TN case, the intention of disabling of HARQ feedback is to resolve the impact of larger RTT and allow the scheduling with same HARQ process from gNB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afa"/>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lastRenderedPageBreak/>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afa"/>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ac"/>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afa"/>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A64E62">
            <w:pPr>
              <w:jc w:val="center"/>
              <w:rPr>
                <w:b/>
                <w:sz w:val="28"/>
                <w:lang w:eastAsia="zh-CN"/>
              </w:rPr>
            </w:pPr>
            <w:r w:rsidRPr="008D3FED">
              <w:rPr>
                <w:b/>
                <w:sz w:val="22"/>
                <w:lang w:eastAsia="zh-CN"/>
              </w:rPr>
              <w:t>Comments and Views</w:t>
            </w:r>
          </w:p>
        </w:tc>
      </w:tr>
      <w:tr w:rsidR="009D1234" w14:paraId="31986403"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rsidP="00A64E62">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rsidP="00A64E62">
            <w:pPr>
              <w:snapToGrid w:val="0"/>
              <w:ind w:left="360"/>
              <w:rPr>
                <w:rFonts w:eastAsia="MS Mincho"/>
                <w:lang w:eastAsia="ja-JP"/>
              </w:rPr>
            </w:pPr>
            <w:r>
              <w:rPr>
                <w:rFonts w:eastAsia="MS Mincho"/>
                <w:lang w:eastAsia="ja-JP"/>
              </w:rPr>
              <w:t xml:space="preserve">Support proposal 3. </w:t>
            </w:r>
          </w:p>
        </w:tc>
      </w:tr>
      <w:tr w:rsidR="001C0F60" w14:paraId="207ED92F"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rsidP="001C0F60">
            <w:pPr>
              <w:snapToGrid w:val="0"/>
              <w:ind w:left="360"/>
            </w:pPr>
            <w:r>
              <w:rPr>
                <w:rFonts w:eastAsiaTheme="minorEastAsia"/>
                <w:lang w:eastAsia="zh-CN"/>
              </w:rPr>
              <w:t>From our understanding, for PDSCH decoding without HARQ-ACK feedback, the time gap N1 is sufficient, because N1 already refers to the PDSCH processing time. There is no additional UE processing burden. But when it comes to FL’s proposal to further relax this time to Tproc</w:t>
            </w:r>
            <w:proofErr w:type="gramStart"/>
            <w:r>
              <w:rPr>
                <w:rFonts w:eastAsiaTheme="minorEastAsia"/>
                <w:lang w:eastAsia="zh-CN"/>
              </w:rPr>
              <w:t>,1</w:t>
            </w:r>
            <w:proofErr w:type="gramEnd"/>
            <w:r>
              <w:rPr>
                <w:rFonts w:eastAsiaTheme="minorEastAsia"/>
                <w:lang w:eastAsia="zh-CN"/>
              </w:rPr>
              <w:t xml:space="preserve">, as a UE vendor, we are fine with this proposal.  </w:t>
            </w:r>
          </w:p>
        </w:tc>
      </w:tr>
      <w:tr w:rsidR="00AD5600" w14:paraId="2F387F95"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rsidP="00AD5600">
            <w:pPr>
              <w:jc w:val="center"/>
              <w:rPr>
                <w:rFonts w:cs="Arial"/>
              </w:rPr>
            </w:pPr>
            <w:r>
              <w:rPr>
                <w:rFonts w:eastAsia="맑은 고딕"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rsidP="00AD5600">
            <w:pPr>
              <w:snapToGrid w:val="0"/>
              <w:ind w:left="360"/>
            </w:pPr>
            <w:r>
              <w:rPr>
                <w:rFonts w:eastAsia="맑은 고딕" w:hint="eastAsia"/>
                <w:lang w:eastAsia="ko-KR"/>
              </w:rPr>
              <w:t xml:space="preserve">Ok with proposal. </w:t>
            </w:r>
            <w:r>
              <w:rPr>
                <w:rFonts w:eastAsia="맑은 고딕"/>
                <w:lang w:eastAsia="ko-KR"/>
              </w:rPr>
              <w:t>Another issue can be scheduling restriction with different HARQ process.</w:t>
            </w:r>
          </w:p>
        </w:tc>
      </w:tr>
    </w:tbl>
    <w:p w14:paraId="04FE9F88" w14:textId="77777777" w:rsidR="00831690" w:rsidRDefault="00F36C79" w:rsidP="00831690">
      <w:pPr>
        <w:spacing w:beforeLines="50" w:before="120" w:after="120"/>
        <w:ind w:leftChars="100" w:left="200"/>
        <w:rPr>
          <w:lang w:eastAsia="x-none"/>
        </w:rPr>
      </w:pPr>
      <w:r w:rsidRPr="005924C7">
        <w:rPr>
          <w:lang w:eastAsia="x-none"/>
        </w:rPr>
        <w:t xml:space="preserve">Moreover, according to the recommendation in the FL summary is last meeting, </w:t>
      </w:r>
      <w:r w:rsidRPr="005924C7">
        <w:rPr>
          <w:b/>
          <w:i/>
          <w:lang w:eastAsia="x-none"/>
        </w:rPr>
        <w:t xml:space="preserve">further views from </w:t>
      </w:r>
      <w:r w:rsidR="00011E20" w:rsidRPr="005924C7">
        <w:rPr>
          <w:b/>
          <w:i/>
          <w:lang w:eastAsia="x-none"/>
        </w:rPr>
        <w:t>5</w:t>
      </w:r>
      <w:r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Pr="005924C7">
        <w:rPr>
          <w:b/>
          <w:i/>
          <w:lang w:eastAsia="x-none"/>
        </w:rPr>
        <w:t>summarized</w:t>
      </w:r>
      <w:r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a"/>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lastRenderedPageBreak/>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DengXian" w:hAnsi="Times New Roman"/>
          <w:i/>
          <w:color w:val="000000"/>
          <w:sz w:val="20"/>
          <w:szCs w:val="20"/>
        </w:rPr>
        <w:t xml:space="preserve">L2 is defined as the next uplink symbol with its CP starting </w:t>
      </w:r>
      <w:bookmarkStart w:id="4" w:name="_Hlk45746554"/>
      <w:bookmarkEnd w:id="4"/>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ac"/>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53523C50"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gNB does not have knowledge of exact UE-specific TA or UE specific RTT every time it schedules a PUSCH. Thus, the gNB might not be able to ensure this timing relationship. Therefore, with this restriction, it imposes the gNB to wait for a longer time to avoid this scheduling error case, contradicting the expected benefits from HARQ disabling. </w:t>
            </w:r>
          </w:p>
        </w:tc>
      </w:tr>
      <w:tr w:rsidR="001C0F60" w14:paraId="2D6EC9A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77777777" w:rsidR="001C0F60" w:rsidRDefault="001C0F60" w:rsidP="001C0F6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77777777" w:rsidR="001C0F60" w:rsidRDefault="001C0F60" w:rsidP="001C0F60">
            <w:pPr>
              <w:snapToGrid w:val="0"/>
              <w:ind w:left="360"/>
            </w:pPr>
          </w:p>
        </w:tc>
      </w:tr>
      <w:tr w:rsidR="001C0F60" w14:paraId="3F4BACD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77777777" w:rsidR="001C0F60" w:rsidRDefault="001C0F60" w:rsidP="001C0F6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77777777" w:rsidR="001C0F60" w:rsidRDefault="001C0F60" w:rsidP="001C0F60">
            <w:pPr>
              <w:snapToGrid w:val="0"/>
              <w:ind w:left="360"/>
            </w:pPr>
          </w:p>
        </w:tc>
      </w:tr>
    </w:tbl>
    <w:p w14:paraId="6D51585A" w14:textId="77777777" w:rsidR="005F2788"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ac"/>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77777777"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31DC4F8D" w14:textId="25CA4A0F" w:rsidR="004D26C4" w:rsidRPr="004D26C4" w:rsidRDefault="004D26C4" w:rsidP="00855278">
      <w:pPr>
        <w:pStyle w:val="ac"/>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af6"/>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af6"/>
          <w:rFonts w:ascii="Times New Roman" w:hAnsi="Times New Roman"/>
          <w:noProof/>
          <w:color w:val="000000" w:themeColor="text1"/>
          <w:szCs w:val="20"/>
          <w:u w:val="none"/>
        </w:rPr>
        <w:t xml:space="preserve"> And [ZTE] mentioned that such restriction can be gNB’s implementation.</w:t>
      </w:r>
    </w:p>
    <w:p w14:paraId="6B6DEB8C" w14:textId="77777777" w:rsidR="00697467" w:rsidRDefault="00125548"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72F23C3D" w:rsidR="005F2788" w:rsidRPr="00697467" w:rsidRDefault="00C06807" w:rsidP="00697467">
      <w:pPr>
        <w:pStyle w:val="ac"/>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[CATT] highlights scheduling with feedback enabled HARQ process should be considered for SPS release and [Sony] prefer to allow the UE to conduct the ACK-NACK feedback even scheduled with feedback disabled HARQ process. [ZTE, CAICT] mention that the corresponding scheduling is up to gNB configuration and [ZTE] prefer to deliver information via enabled HARQ process.</w:t>
      </w:r>
    </w:p>
    <w:p w14:paraId="59872CD2" w14:textId="0705BFE9"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lastRenderedPageBreak/>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77229F">
        <w:rPr>
          <w:rFonts w:eastAsiaTheme="minorEastAsia"/>
          <w:lang w:val="en-US" w:eastAsia="zh-CN"/>
        </w:rPr>
        <w:t>gNB’s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51924A19" w:rsidR="00217792" w:rsidRDefault="00C43449" w:rsidP="00217792">
            <w:pPr>
              <w:snapToGrid w:val="0"/>
              <w:ind w:left="360"/>
              <w:rPr>
                <w:rFonts w:eastAsia="MS Mincho"/>
                <w:lang w:eastAsia="ja-JP"/>
              </w:rPr>
            </w:pPr>
            <w:r>
              <w:rPr>
                <w:rFonts w:eastAsia="MS Mincho"/>
                <w:lang w:eastAsia="ja-JP"/>
              </w:rPr>
              <w:t>Above options assumes gNB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AC CE and SPS release should be up to gNB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6D6B424E"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AC CE and SPS release is up to gNB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hint="eastAsia"/>
              </w:rPr>
            </w:pPr>
            <w:r>
              <w:rPr>
                <w:rFonts w:eastAsia="맑은 고딕"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맑은 고딕"/>
                <w:lang w:eastAsia="ko-KR"/>
              </w:rPr>
              <w:t>Slightly prefer</w:t>
            </w:r>
            <w:r>
              <w:rPr>
                <w:rFonts w:eastAsia="맑은 고딕" w:hint="eastAsia"/>
                <w:lang w:eastAsia="ko-KR"/>
              </w:rPr>
              <w:t xml:space="preserve"> Option -2. </w:t>
            </w:r>
            <w:r>
              <w:rPr>
                <w:rFonts w:eastAsia="맑은 고딕"/>
                <w:lang w:eastAsia="ko-KR"/>
              </w:rPr>
              <w:t xml:space="preserve">We think issue related to “SPS PDSCH activation” with HARQ-ACK disabled process also needs to be resolved. </w:t>
            </w:r>
          </w:p>
        </w:tc>
      </w:tr>
    </w:tbl>
    <w:p w14:paraId="2FC1B16E" w14:textId="77777777" w:rsidR="00687220" w:rsidRPr="005F2788" w:rsidRDefault="00687220"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xml:space="preserve">]. Moreover, as results shown in [ZTE], performance gain can be achieved for the transmission with </w:t>
      </w:r>
      <w:r>
        <w:rPr>
          <w:rFonts w:eastAsiaTheme="minorEastAsia"/>
          <w:lang w:eastAsia="zh-CN"/>
        </w:rPr>
        <w:lastRenderedPageBreak/>
        <w:t>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ac"/>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proofErr w:type="spellStart"/>
      <w:r w:rsidR="009A7394" w:rsidRPr="003248A9">
        <w:rPr>
          <w:rFonts w:eastAsiaTheme="minorEastAsia"/>
          <w:lang w:eastAsia="zh-CN"/>
        </w:rPr>
        <w:t>InterDigital</w:t>
      </w:r>
      <w:proofErr w:type="spellEnd"/>
      <w:r w:rsidRPr="003248A9">
        <w:rPr>
          <w:rFonts w:eastAsiaTheme="minorEastAsia"/>
          <w:lang w:eastAsia="zh-CN"/>
        </w:rPr>
        <w:t>] is proposed by [</w:t>
      </w:r>
      <w:proofErr w:type="spellStart"/>
      <w:r w:rsidR="009E0F31" w:rsidRPr="003248A9">
        <w:rPr>
          <w:rFonts w:eastAsiaTheme="minorEastAsia"/>
          <w:lang w:eastAsia="zh-CN"/>
        </w:rPr>
        <w:t>InterDigital</w:t>
      </w:r>
      <w:proofErr w:type="spellEnd"/>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ac"/>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ac"/>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41690890"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lastRenderedPageBreak/>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w:t>
            </w:r>
            <w:proofErr w:type="spellStart"/>
            <w:r w:rsidR="00410854">
              <w:rPr>
                <w:rFonts w:eastAsia="MS Mincho"/>
                <w:lang w:eastAsia="ja-JP"/>
              </w:rPr>
              <w:t>gNB’s</w:t>
            </w:r>
            <w:proofErr w:type="spellEnd"/>
            <w:r w:rsidR="00410854">
              <w:rPr>
                <w:rFonts w:eastAsia="MS Mincho"/>
                <w:lang w:eastAsia="ja-JP"/>
              </w:rPr>
              <w:t xml:space="preserve"> MCS selection using the existing CQI/MCS tables. </w:t>
            </w:r>
            <w:r w:rsidR="006E4340">
              <w:rPr>
                <w:rFonts w:eastAsia="MS Mincho"/>
                <w:lang w:eastAsia="ja-JP"/>
              </w:rPr>
              <w:t xml:space="preserve"> </w:t>
            </w:r>
          </w:p>
        </w:tc>
      </w:tr>
      <w:tr w:rsidR="001C0F60"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맑은 고딕"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맑은 고딕" w:hint="eastAsia"/>
                <w:lang w:eastAsia="ko-KR"/>
              </w:rPr>
              <w:t>Regarding first sub</w:t>
            </w:r>
            <w:r>
              <w:rPr>
                <w:rFonts w:eastAsia="맑은 고딕"/>
                <w:lang w:eastAsia="ko-KR"/>
              </w:rPr>
              <w:t>-</w:t>
            </w:r>
            <w:r>
              <w:rPr>
                <w:rFonts w:eastAsia="맑은 고딕" w:hint="eastAsia"/>
                <w:lang w:eastAsia="ko-KR"/>
              </w:rPr>
              <w:t>bullet, it is</w:t>
            </w:r>
            <w:r>
              <w:rPr>
                <w:rFonts w:eastAsia="맑은 고딕"/>
                <w:lang w:eastAsia="ko-KR"/>
              </w:rPr>
              <w:t xml:space="preserve"> ok for </w:t>
            </w:r>
            <w:r>
              <w:rPr>
                <w:rFonts w:eastAsia="맑은 고딕" w:hint="eastAsia"/>
                <w:lang w:eastAsia="ko-KR"/>
              </w:rPr>
              <w:t>prio</w:t>
            </w:r>
            <w:r>
              <w:rPr>
                <w:rFonts w:eastAsia="맑은 고딕"/>
                <w:lang w:eastAsia="ko-KR"/>
              </w:rPr>
              <w:t>ri</w:t>
            </w:r>
            <w:r>
              <w:rPr>
                <w:rFonts w:eastAsia="맑은 고딕" w:hint="eastAsia"/>
                <w:lang w:eastAsia="ko-KR"/>
              </w:rPr>
              <w:t xml:space="preserve">tization. </w:t>
            </w:r>
            <w:r>
              <w:rPr>
                <w:rFonts w:eastAsia="맑은 고딕"/>
                <w:lang w:eastAsia="ko-KR"/>
              </w:rPr>
              <w:t xml:space="preserve">But, for second sub-bullet, the benefit is not clear. </w:t>
            </w:r>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ac"/>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 xml:space="preserve">Huawei, </w:t>
            </w:r>
            <w:proofErr w:type="spellStart"/>
            <w:r w:rsidRPr="00764EA0">
              <w:t>HiSilicon</w:t>
            </w:r>
            <w:proofErr w:type="spellEnd"/>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lastRenderedPageBreak/>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lastRenderedPageBreak/>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 xml:space="preserve">Proposal 2: Configure two subsets of HARQ processes for enabled HARQ processes and disabled HARQ processes respectively via RRC </w:t>
            </w:r>
            <w:proofErr w:type="spellStart"/>
            <w:r w:rsidRPr="00764EA0">
              <w:t>signaling</w:t>
            </w:r>
            <w:proofErr w:type="spellEnd"/>
            <w:r w:rsidRPr="00764EA0">
              <w:t>.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lastRenderedPageBreak/>
              <w:t>Support time interleaved slot aggregation to improve transmission reliability.</w:t>
            </w:r>
          </w:p>
          <w:p w14:paraId="2EA00C67"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lastRenderedPageBreak/>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The gNB can transmit the DCI of scheduling a PUSCH for a given HARQ process before it receives the previous PUSCH transmission for the same HARQ process.</w:t>
            </w:r>
          </w:p>
          <w:p w14:paraId="6C111815"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ko-KR"/>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ko-KR"/>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30CC3">
              <w:rPr>
                <w:position w:val="-12"/>
              </w:rPr>
              <w:pict w14:anchorId="559CC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5pt;height:16.6pt">
                  <v:imagedata r:id="rId13" o:title=""/>
                </v:shape>
              </w:pict>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lastRenderedPageBreak/>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lastRenderedPageBreak/>
              <w:t>R1-2100596</w:t>
            </w:r>
            <w:r w:rsidR="00F644B2" w:rsidRPr="00764EA0">
              <w:t xml:space="preserve"> MTK</w:t>
            </w:r>
          </w:p>
        </w:tc>
        <w:tc>
          <w:tcPr>
            <w:tcW w:w="9356" w:type="dxa"/>
            <w:vAlign w:val="center"/>
          </w:tcPr>
          <w:p w14:paraId="384DA692"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Observation 2: It is up to gNB implementation if UL HARQ feedback is not disabled for Message 3 during initial access.</w:t>
            </w:r>
          </w:p>
          <w:p w14:paraId="374BA94E" w14:textId="77777777" w:rsidR="00764EA0" w:rsidRPr="00764EA0" w:rsidRDefault="00764EA0" w:rsidP="00764EA0">
            <w:pPr>
              <w:pStyle w:val="ac"/>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ac"/>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afa"/>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afa"/>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lastRenderedPageBreak/>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proofErr w:type="spellStart"/>
            <w:r w:rsidRPr="00764EA0">
              <w:t>Spreadtrum</w:t>
            </w:r>
            <w:proofErr w:type="spellEnd"/>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afa"/>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afa"/>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lastRenderedPageBreak/>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 xml:space="preserve">When HARQ processes are enabled/disabled on a per HARQ process basis, in the case of the NR Type-3 HARQ codebook, the codebook size is dimensioned to include ACK/NACK </w:t>
            </w:r>
            <w:r w:rsidRPr="00764EA0">
              <w:rPr>
                <w:rStyle w:val="af6"/>
                <w:rFonts w:ascii="Times New Roman" w:hAnsi="Times New Roman" w:cs="Times New Roman"/>
                <w:b w:val="0"/>
                <w:noProof/>
                <w:color w:val="000000" w:themeColor="text1"/>
                <w:sz w:val="20"/>
                <w:szCs w:val="20"/>
                <w:u w:val="none"/>
              </w:rPr>
              <w:lastRenderedPageBreak/>
              <w:t>information only for HARQ processes that are enabled.</w:t>
            </w:r>
          </w:p>
          <w:p w14:paraId="221F9353" w14:textId="0C5AF4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 xml:space="preserve">The value of X should be less than </w:t>
            </w:r>
            <m:oMath>
              <m:r>
                <m:rPr>
                  <m:sty m:val="b"/>
                </m:rPr>
                <w:rPr>
                  <w:rStyle w:val="af6"/>
                  <w:rFonts w:ascii="Cambria Math" w:hAnsi="Cambria Math" w:cs="Times New Roman"/>
                  <w:noProof/>
                  <w:color w:val="000000" w:themeColor="text1"/>
                  <w:sz w:val="20"/>
                  <w:szCs w:val="20"/>
                  <w:u w:val="none"/>
                </w:rPr>
                <m:t>Tproc,1</m:t>
              </m:r>
            </m:oMath>
            <w:r w:rsidRPr="00764EA0">
              <w:rPr>
                <w:rStyle w:val="af6"/>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aff0"/>
              <w:tabs>
                <w:tab w:val="right" w:leader="dot" w:pos="9629"/>
              </w:tabs>
              <w:adjustRightInd w:val="0"/>
              <w:snapToGrid w:val="0"/>
              <w:spacing w:after="0"/>
              <w:rPr>
                <w:rFonts w:ascii="Times New Roman" w:hAnsi="Times New Roman" w:cs="Times New Roman"/>
                <w:b w:val="0"/>
                <w:sz w:val="20"/>
                <w:szCs w:val="20"/>
              </w:rPr>
            </w:pPr>
            <w:r w:rsidRPr="00764EA0">
              <w:rPr>
                <w:rStyle w:val="af6"/>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af6"/>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10"/>
              <w:snapToGrid w:val="0"/>
              <w:spacing w:before="0"/>
              <w:ind w:left="0" w:firstLine="0"/>
              <w:rPr>
                <w:rFonts w:eastAsiaTheme="minorEastAsia"/>
                <w:color w:val="000000" w:themeColor="text1"/>
                <w:sz w:val="20"/>
                <w:lang w:eastAsia="zh-TW"/>
              </w:rPr>
            </w:pPr>
            <w:r w:rsidRPr="00764EA0">
              <w:rPr>
                <w:rStyle w:val="af6"/>
                <w:color w:val="000000" w:themeColor="text1"/>
                <w:sz w:val="20"/>
                <w:u w:val="none"/>
                <w:lang w:eastAsia="zh-TW"/>
              </w:rPr>
              <w:t>Proposal 1</w:t>
            </w:r>
            <w:r w:rsidRPr="00764EA0">
              <w:rPr>
                <w:rFonts w:eastAsiaTheme="minorEastAsia"/>
                <w:color w:val="000000" w:themeColor="text1"/>
                <w:sz w:val="20"/>
                <w:lang w:eastAsia="zh-TW"/>
              </w:rPr>
              <w:tab/>
            </w:r>
            <w:r w:rsidRPr="00764EA0">
              <w:rPr>
                <w:rStyle w:val="af6"/>
                <w:color w:val="000000" w:themeColor="text1"/>
                <w:sz w:val="20"/>
                <w:u w:val="none"/>
                <w:lang w:eastAsia="zh-TW"/>
              </w:rPr>
              <w:t xml:space="preserve">Reuse </w:t>
            </w:r>
            <m:oMath>
              <m:r>
                <m:rPr>
                  <m:sty m:val="p"/>
                </m:rPr>
                <w:rPr>
                  <w:rStyle w:val="af6"/>
                  <w:rFonts w:ascii="Cambria Math" w:hAnsi="Cambria Math"/>
                  <w:color w:val="000000" w:themeColor="text1"/>
                  <w:sz w:val="20"/>
                  <w:u w:val="none"/>
                  <w:lang w:eastAsia="zh-TW"/>
                </w:rPr>
                <m:t>Tproc,1</m:t>
              </m:r>
            </m:oMath>
            <w:r w:rsidRPr="00764EA0">
              <w:rPr>
                <w:rStyle w:val="af6"/>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2</w:t>
            </w:r>
            <w:r w:rsidRPr="00764EA0">
              <w:rPr>
                <w:rFonts w:eastAsiaTheme="minorEastAsia"/>
                <w:color w:val="000000" w:themeColor="text1"/>
                <w:sz w:val="20"/>
                <w:lang w:eastAsia="zh-TW"/>
              </w:rPr>
              <w:tab/>
            </w:r>
            <w:r w:rsidRPr="00764EA0">
              <w:rPr>
                <w:rStyle w:val="af6"/>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3</w:t>
            </w:r>
            <w:r w:rsidRPr="00764EA0">
              <w:rPr>
                <w:rFonts w:eastAsiaTheme="minorEastAsia"/>
                <w:color w:val="000000" w:themeColor="text1"/>
                <w:sz w:val="20"/>
                <w:lang w:eastAsia="zh-TW"/>
              </w:rPr>
              <w:tab/>
            </w:r>
            <w:r w:rsidRPr="00764EA0">
              <w:rPr>
                <w:rStyle w:val="af6"/>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4</w:t>
            </w:r>
            <w:r w:rsidRPr="00764EA0">
              <w:rPr>
                <w:rFonts w:eastAsiaTheme="minorEastAsia"/>
                <w:color w:val="000000" w:themeColor="text1"/>
                <w:sz w:val="20"/>
                <w:lang w:eastAsia="zh-TW"/>
              </w:rPr>
              <w:tab/>
            </w:r>
            <w:r w:rsidRPr="00764EA0">
              <w:rPr>
                <w:rStyle w:val="af6"/>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5</w:t>
            </w:r>
            <w:r w:rsidRPr="00764EA0">
              <w:rPr>
                <w:rFonts w:eastAsiaTheme="minorEastAsia"/>
                <w:color w:val="000000" w:themeColor="text1"/>
                <w:sz w:val="20"/>
                <w:lang w:eastAsia="zh-TW"/>
              </w:rPr>
              <w:tab/>
            </w:r>
            <w:r w:rsidRPr="00764EA0">
              <w:rPr>
                <w:rStyle w:val="af6"/>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6</w:t>
            </w:r>
            <w:r w:rsidRPr="00764EA0">
              <w:rPr>
                <w:rFonts w:eastAsiaTheme="minorEastAsia"/>
                <w:color w:val="000000" w:themeColor="text1"/>
                <w:sz w:val="20"/>
                <w:lang w:eastAsia="zh-TW"/>
              </w:rPr>
              <w:tab/>
            </w:r>
            <w:r w:rsidRPr="00764EA0">
              <w:rPr>
                <w:rStyle w:val="af6"/>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7</w:t>
            </w:r>
            <w:r w:rsidRPr="00764EA0">
              <w:rPr>
                <w:rFonts w:eastAsiaTheme="minorEastAsia"/>
                <w:color w:val="000000" w:themeColor="text1"/>
                <w:sz w:val="20"/>
                <w:lang w:eastAsia="zh-TW"/>
              </w:rPr>
              <w:tab/>
            </w:r>
            <w:r w:rsidRPr="00764EA0">
              <w:rPr>
                <w:rStyle w:val="af6"/>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10"/>
              <w:snapToGrid w:val="0"/>
              <w:spacing w:before="0"/>
              <w:rPr>
                <w:sz w:val="20"/>
              </w:rPr>
            </w:pPr>
            <w:r w:rsidRPr="00764EA0">
              <w:rPr>
                <w:rStyle w:val="af6"/>
                <w:color w:val="000000" w:themeColor="text1"/>
                <w:sz w:val="20"/>
                <w:u w:val="none"/>
              </w:rPr>
              <w:t>Proposal 8</w:t>
            </w:r>
            <w:r w:rsidRPr="00764EA0">
              <w:rPr>
                <w:rFonts w:eastAsiaTheme="minorEastAsia"/>
                <w:color w:val="000000" w:themeColor="text1"/>
                <w:sz w:val="20"/>
                <w:lang w:eastAsia="zh-TW"/>
              </w:rPr>
              <w:tab/>
            </w:r>
            <w:r w:rsidRPr="00764EA0">
              <w:rPr>
                <w:rStyle w:val="af6"/>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proofErr w:type="spellStart"/>
            <w:r>
              <w:t>InterDigital</w:t>
            </w:r>
            <w:proofErr w:type="spellEnd"/>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 miss understanding may occur on the bit size of the Type-1 HARQ-ACK codebook between the gNB and the UE.</w:t>
            </w:r>
          </w:p>
          <w:p w14:paraId="6808FA4D"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lastRenderedPageBreak/>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lastRenderedPageBreak/>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w:t>
            </w:r>
            <w:proofErr w:type="gramStart"/>
            <w:r w:rsidRPr="00764EA0">
              <w:rPr>
                <w:rFonts w:ascii="Times New Roman" w:hAnsi="Times New Roman"/>
                <w:sz w:val="20"/>
                <w:szCs w:val="20"/>
              </w:rPr>
              <w:t>SC</w:t>
            </w:r>
            <w:r w:rsidRPr="00764EA0">
              <w:rPr>
                <w:rFonts w:ascii="Times New Roman" w:hAnsi="Times New Roman"/>
                <w:sz w:val="20"/>
                <w:szCs w:val="20"/>
                <w:lang w:eastAsia="ko-KR"/>
              </w:rPr>
              <w:t>{</w:t>
            </w:r>
            <w:proofErr w:type="gramEnd"/>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afa"/>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gNB cannot distinguish between just proper parameter and too reliable parameter, if the slot aggregation is used. </w:t>
            </w:r>
          </w:p>
          <w:p w14:paraId="20B89AAE"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gNB cannot optimally react to some cases, if the slot aggregation is used.</w:t>
            </w:r>
          </w:p>
          <w:p w14:paraId="46F28BC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afa"/>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Observation 14 : If all the HARQ feedback are disabled, gNB cannot optimally react to all cases</w:t>
            </w:r>
          </w:p>
          <w:p w14:paraId="458DA7A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afa"/>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lastRenderedPageBreak/>
              <w:t>HARQ feedback availability (enabled/disabled)</w:t>
            </w:r>
          </w:p>
          <w:p w14:paraId="4D84C088"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맑은 고딕"/>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gNB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afa"/>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w:t>
            </w:r>
            <w:proofErr w:type="gramStart"/>
            <w:r w:rsidRPr="00764EA0">
              <w:rPr>
                <w:rFonts w:ascii="Times New Roman" w:hAnsi="Times New Roman"/>
                <w:sz w:val="20"/>
                <w:szCs w:val="20"/>
              </w:rPr>
              <w:t>gNB</w:t>
            </w:r>
            <w:proofErr w:type="gramEnd"/>
            <w:r w:rsidRPr="00764EA0">
              <w:rPr>
                <w:rFonts w:ascii="Times New Roman" w:hAnsi="Times New Roman"/>
                <w:sz w:val="20"/>
                <w:szCs w:val="20"/>
              </w:rPr>
              <w:t xml:space="preserve"> broadcasts the maximum TBS to be configured for the cell and UE reports its capability for a number of HARQ processes. </w:t>
            </w:r>
          </w:p>
          <w:p w14:paraId="1AD817C8"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lastRenderedPageBreak/>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lastRenderedPageBreak/>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afa"/>
              <w:numPr>
                <w:ilvl w:val="0"/>
                <w:numId w:val="39"/>
              </w:numPr>
              <w:adjustRightInd w:val="0"/>
              <w:snapToGrid w:val="0"/>
              <w:jc w:val="both"/>
              <w:rPr>
                <w:rFonts w:ascii="Times New Roman" w:eastAsia="맑은 고딕" w:hAnsi="Times New Roman"/>
                <w:sz w:val="20"/>
                <w:szCs w:val="20"/>
                <w:lang w:eastAsia="zh-CN"/>
              </w:rPr>
            </w:pPr>
            <w:r w:rsidRPr="00764EA0">
              <w:rPr>
                <w:rFonts w:ascii="Times New Roman" w:eastAsia="맑은 고딕"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afa"/>
              <w:numPr>
                <w:ilvl w:val="0"/>
                <w:numId w:val="39"/>
              </w:numPr>
              <w:adjustRightInd w:val="0"/>
              <w:snapToGrid w:val="0"/>
              <w:jc w:val="both"/>
              <w:rPr>
                <w:rFonts w:ascii="Times New Roman" w:eastAsia="맑은 고딕" w:hAnsi="Times New Roman"/>
                <w:sz w:val="20"/>
                <w:szCs w:val="20"/>
                <w:lang w:eastAsia="zh-CN"/>
              </w:rPr>
            </w:pPr>
            <w:r w:rsidRPr="00764EA0">
              <w:rPr>
                <w:rFonts w:ascii="Times New Roman" w:eastAsia="맑은 고딕"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lastRenderedPageBreak/>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afa"/>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X=</w:t>
            </w:r>
            <w:proofErr w:type="gramStart"/>
            <w:r w:rsidRPr="00764EA0">
              <w:rPr>
                <w:rFonts w:ascii="Times New Roman" w:eastAsia="Times New Roman" w:hAnsi="Times New Roman"/>
                <w:bCs/>
                <w:sz w:val="20"/>
                <w:szCs w:val="20"/>
              </w:rPr>
              <w:t>max(</w:t>
            </w:r>
            <w:proofErr w:type="gramEnd"/>
            <w:r w:rsidRPr="00764EA0">
              <w:rPr>
                <w:rFonts w:ascii="Times New Roman" w:eastAsia="Times New Roman" w:hAnsi="Times New Roman"/>
                <w:bCs/>
                <w:sz w:val="20"/>
                <w:szCs w:val="20"/>
              </w:rPr>
              <w:t xml:space="preserve">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w:t>
            </w:r>
            <w:proofErr w:type="spellStart"/>
            <w:r w:rsidRPr="00764EA0">
              <w:rPr>
                <w:rFonts w:ascii="Times New Roman" w:eastAsia="Times New Roman" w:hAnsi="Times New Roman"/>
                <w:bCs/>
                <w:iCs/>
                <w:sz w:val="20"/>
                <w:szCs w:val="20"/>
                <w:lang w:val="en-GB" w:eastAsia="ja-JP"/>
              </w:rPr>
              <w:t>DataToUL</w:t>
            </w:r>
            <w:proofErr w:type="spellEnd"/>
            <w:r w:rsidRPr="00764EA0">
              <w:rPr>
                <w:rFonts w:ascii="Times New Roman" w:eastAsia="Times New Roman" w:hAnsi="Times New Roman"/>
                <w:bCs/>
                <w:iCs/>
                <w:sz w:val="20"/>
                <w:szCs w:val="20"/>
                <w:lang w:val="en-GB" w:eastAsia="ja-JP"/>
              </w:rPr>
              <w:t>-ACK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afa"/>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afa"/>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B8D4D" w14:textId="77777777" w:rsidR="00D30CC3" w:rsidRDefault="00D30CC3">
      <w:pPr>
        <w:spacing w:after="0"/>
      </w:pPr>
      <w:r>
        <w:separator/>
      </w:r>
    </w:p>
  </w:endnote>
  <w:endnote w:type="continuationSeparator" w:id="0">
    <w:p w14:paraId="02ED84EA" w14:textId="77777777" w:rsidR="00D30CC3" w:rsidRDefault="00D30C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SimHei">
    <w:altName w:val="黑体"/>
    <w:panose1 w:val="02010600030101010101"/>
    <w:charset w:val="86"/>
    <w:family w:val="modern"/>
    <w:notTrueType/>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A64E62" w:rsidRDefault="00A64E62">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A64E62" w:rsidRDefault="00A64E6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7777777" w:rsidR="00A64E62" w:rsidRDefault="00A64E62">
    <w:pPr>
      <w:pStyle w:val="ae"/>
      <w:ind w:right="360"/>
    </w:pPr>
    <w:r>
      <w:rPr>
        <w:rStyle w:val="af3"/>
      </w:rPr>
      <w:fldChar w:fldCharType="begin"/>
    </w:r>
    <w:r>
      <w:rPr>
        <w:rStyle w:val="af3"/>
      </w:rPr>
      <w:instrText xml:space="preserve"> PAGE </w:instrText>
    </w:r>
    <w:r>
      <w:rPr>
        <w:rStyle w:val="af3"/>
      </w:rPr>
      <w:fldChar w:fldCharType="separate"/>
    </w:r>
    <w:r w:rsidR="008F72D4">
      <w:rPr>
        <w:rStyle w:val="af3"/>
        <w:noProof/>
      </w:rPr>
      <w:t>20</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8F72D4">
      <w:rPr>
        <w:rStyle w:val="af3"/>
        <w:noProof/>
      </w:rPr>
      <w:t>20</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10560" w14:textId="77777777" w:rsidR="00D30CC3" w:rsidRDefault="00D30CC3">
      <w:pPr>
        <w:spacing w:after="0"/>
      </w:pPr>
      <w:r>
        <w:separator/>
      </w:r>
    </w:p>
  </w:footnote>
  <w:footnote w:type="continuationSeparator" w:id="0">
    <w:p w14:paraId="04F41546" w14:textId="77777777" w:rsidR="00D30CC3" w:rsidRDefault="00D30C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A64E62" w:rsidRDefault="00A64E6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4"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1"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4"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4"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5"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40"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8"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0"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1"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2"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8"/>
  </w:num>
  <w:num w:numId="2">
    <w:abstractNumId w:val="54"/>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1"/>
  </w:num>
  <w:num w:numId="6">
    <w:abstractNumId w:val="1"/>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13"/>
  </w:num>
  <w:num w:numId="10">
    <w:abstractNumId w:val="12"/>
  </w:num>
  <w:num w:numId="11">
    <w:abstractNumId w:val="49"/>
  </w:num>
  <w:num w:numId="12">
    <w:abstractNumId w:val="51"/>
  </w:num>
  <w:num w:numId="13">
    <w:abstractNumId w:val="33"/>
  </w:num>
  <w:num w:numId="14">
    <w:abstractNumId w:val="15"/>
  </w:num>
  <w:num w:numId="15">
    <w:abstractNumId w:val="9"/>
  </w:num>
  <w:num w:numId="16">
    <w:abstractNumId w:val="20"/>
  </w:num>
  <w:num w:numId="17">
    <w:abstractNumId w:val="26"/>
  </w:num>
  <w:num w:numId="18">
    <w:abstractNumId w:val="29"/>
  </w:num>
  <w:num w:numId="19">
    <w:abstractNumId w:val="14"/>
  </w:num>
  <w:num w:numId="20">
    <w:abstractNumId w:val="56"/>
  </w:num>
  <w:num w:numId="21">
    <w:abstractNumId w:val="36"/>
  </w:num>
  <w:num w:numId="22">
    <w:abstractNumId w:val="4"/>
  </w:num>
  <w:num w:numId="23">
    <w:abstractNumId w:val="17"/>
  </w:num>
  <w:num w:numId="24">
    <w:abstractNumId w:val="55"/>
  </w:num>
  <w:num w:numId="25">
    <w:abstractNumId w:val="53"/>
  </w:num>
  <w:num w:numId="26">
    <w:abstractNumId w:val="23"/>
  </w:num>
  <w:num w:numId="27">
    <w:abstractNumId w:val="50"/>
  </w:num>
  <w:num w:numId="28">
    <w:abstractNumId w:val="6"/>
  </w:num>
  <w:num w:numId="29">
    <w:abstractNumId w:val="10"/>
  </w:num>
  <w:num w:numId="30">
    <w:abstractNumId w:val="48"/>
  </w:num>
  <w:num w:numId="31">
    <w:abstractNumId w:val="52"/>
  </w:num>
  <w:num w:numId="32">
    <w:abstractNumId w:val="21"/>
  </w:num>
  <w:num w:numId="33">
    <w:abstractNumId w:val="11"/>
  </w:num>
  <w:num w:numId="34">
    <w:abstractNumId w:val="47"/>
  </w:num>
  <w:num w:numId="35">
    <w:abstractNumId w:val="8"/>
  </w:num>
  <w:num w:numId="36">
    <w:abstractNumId w:val="24"/>
  </w:num>
  <w:num w:numId="37">
    <w:abstractNumId w:val="39"/>
  </w:num>
  <w:num w:numId="38">
    <w:abstractNumId w:val="28"/>
  </w:num>
  <w:num w:numId="39">
    <w:abstractNumId w:val="31"/>
  </w:num>
  <w:num w:numId="40">
    <w:abstractNumId w:val="5"/>
  </w:num>
  <w:num w:numId="41">
    <w:abstractNumId w:val="42"/>
  </w:num>
  <w:num w:numId="42">
    <w:abstractNumId w:val="35"/>
  </w:num>
  <w:num w:numId="43">
    <w:abstractNumId w:val="16"/>
  </w:num>
  <w:num w:numId="44">
    <w:abstractNumId w:val="22"/>
  </w:num>
  <w:num w:numId="45">
    <w:abstractNumId w:val="45"/>
  </w:num>
  <w:num w:numId="46">
    <w:abstractNumId w:val="37"/>
  </w:num>
  <w:num w:numId="47">
    <w:abstractNumId w:val="27"/>
  </w:num>
  <w:num w:numId="48">
    <w:abstractNumId w:val="3"/>
  </w:num>
  <w:num w:numId="49">
    <w:abstractNumId w:val="19"/>
  </w:num>
  <w:num w:numId="50">
    <w:abstractNumId w:val="43"/>
  </w:num>
  <w:num w:numId="51">
    <w:abstractNumId w:val="34"/>
  </w:num>
  <w:num w:numId="52">
    <w:abstractNumId w:val="40"/>
  </w:num>
  <w:num w:numId="53">
    <w:abstractNumId w:val="46"/>
  </w:num>
  <w:num w:numId="54">
    <w:abstractNumId w:val="2"/>
  </w:num>
  <w:num w:numId="55">
    <w:abstractNumId w:val="32"/>
  </w:num>
  <w:num w:numId="56">
    <w:abstractNumId w:val="44"/>
  </w:num>
  <w:num w:numId="57">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854"/>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82F"/>
    <w:rsid w:val="00456971"/>
    <w:rsid w:val="00456995"/>
    <w:rsid w:val="004569CC"/>
    <w:rsid w:val="00456B9B"/>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648"/>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CCF"/>
    <w:rsid w:val="00CF7D08"/>
    <w:rsid w:val="00D00522"/>
    <w:rsid w:val="00D0090B"/>
    <w:rsid w:val="00D00B22"/>
    <w:rsid w:val="00D01364"/>
    <w:rsid w:val="00D013B9"/>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53D"/>
    <w:rsid w:val="00FB15D5"/>
    <w:rsid w:val="00FB1694"/>
    <w:rsid w:val="00FB18E8"/>
    <w:rsid w:val="00FB1924"/>
    <w:rsid w:val="00FB19D8"/>
    <w:rsid w:val="00FB22E5"/>
    <w:rsid w:val="00FB2803"/>
    <w:rsid w:val="00FB2864"/>
    <w:rsid w:val="00FB2A1B"/>
    <w:rsid w:val="00FB2B32"/>
    <w:rsid w:val="00FB2F94"/>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51B"/>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C51920"/>
  <w15:docId w15:val="{240B6A6B-494B-45F0-BF83-A1200610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SimSun"/>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列表段落,1st level - Bullet List Paragraph,Lettre d'introduction,Paragrafo elenco,Normal bullet 2,Bullet list,Numbered List,List Paragraph1,Task Body,Viñetas (Inicio Parrafo),列表段落1,ÁÐ³ö¶ÎÂä,リスト段落"/>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har">
    <w:name w:val="메모 텍스트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바닥글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캡션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본문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목록 단락 Char"/>
    <w:aliases w:val="- Bullets Char,?? ?? Char,????? Char,???? Char,Lista1 Char,中等深浅网格 1 - 着色 21 Char,列表段落 Char,1st level - Bullet List Paragraph Char,Lettre d'introduction Char,Paragrafo elenco Char,Normal bullet 2 Char,Bullet list Char,Numbered List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각주 텍스트 Char"/>
    <w:link w:val="af1"/>
    <w:rsid w:val="00D1156E"/>
    <w:rPr>
      <w:rFonts w:eastAsia="SimSun"/>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바탕" w:hAnsi="Arial"/>
      <w:b/>
      <w:sz w:val="18"/>
    </w:rPr>
  </w:style>
  <w:style w:type="character" w:customStyle="1" w:styleId="B2Char">
    <w:name w:val="B2 Char"/>
    <w:basedOn w:val="a2"/>
    <w:link w:val="B2"/>
    <w:qFormat/>
    <w:locked/>
    <w:rsid w:val="00DC375A"/>
    <w:rPr>
      <w:rFonts w:eastAsia="SimSun"/>
      <w:lang w:val="en-GB" w:eastAsia="en-US"/>
    </w:rPr>
  </w:style>
  <w:style w:type="paragraph" w:customStyle="1" w:styleId="26">
    <w:name w:val="正文2"/>
    <w:rsid w:val="002B33B9"/>
    <w:pPr>
      <w:spacing w:before="100" w:beforeAutospacing="1" w:after="180"/>
    </w:pPr>
    <w:rPr>
      <w:rFonts w:eastAsia="SimSun"/>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29B5F9E-4017-48DC-8394-8F535FD17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20</Pages>
  <Words>10230</Words>
  <Characters>58317</Characters>
  <Application>Microsoft Office Word</Application>
  <DocSecurity>0</DocSecurity>
  <Lines>485</Lines>
  <Paragraphs>136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ZTE</Company>
  <LinksUpToDate>false</LinksUpToDate>
  <CharactersWithSpaces>68411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박해욱/책임연구원/미래기술센터 C&amp;M표준(연)5G무선통신표준Task(haewook.park@lge.com)</cp:lastModifiedBy>
  <cp:revision>4</cp:revision>
  <cp:lastPrinted>2011-11-09T07:49:00Z</cp:lastPrinted>
  <dcterms:created xsi:type="dcterms:W3CDTF">2021-01-26T11:26:00Z</dcterms:created>
  <dcterms:modified xsi:type="dcterms:W3CDTF">2021-01-26T11:30:00Z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