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62AAB">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62AAB">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62AAB">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62AAB">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62AAB">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62AAB">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62AAB">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62AAB">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62AAB">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62AAB">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62AAB">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62AAB">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62AAB">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62AAB">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62AAB">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62AAB">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62AAB">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62AAB">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62AAB">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62AAB">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62AAB">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62AAB">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62AAB">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62AAB">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62AAB">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62AAB">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62AAB">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62AAB">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62AAB">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62AAB">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62AAB">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62AAB">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62AAB">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62AAB">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62AAB">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62AAB">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62AAB">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62AAB">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62AAB">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62A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62A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62A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w:t>
            </w:r>
            <w:proofErr w:type="gramStart"/>
            <w:r w:rsidRPr="006F3B3C">
              <w:rPr>
                <w:lang w:eastAsia="ja-JP"/>
              </w:rPr>
              <w:t>i.e.</w:t>
            </w:r>
            <w:proofErr w:type="gramEnd"/>
            <w:r w:rsidRPr="006F3B3C">
              <w:rPr>
                <w:lang w:eastAsia="ja-JP"/>
              </w:rPr>
              <w:t xml:space="preserv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w:t>
            </w:r>
            <w:proofErr w:type="spellStart"/>
            <w:r w:rsidRPr="000A2073">
              <w:rPr>
                <w:rFonts w:ascii="Times New Roman" w:hAnsi="Times New Roman" w:cs="Times New Roman"/>
                <w:b w:val="0"/>
                <w:sz w:val="20"/>
              </w:rPr>
              <w:t>mous</w:t>
            </w:r>
            <w:proofErr w:type="spellEnd"/>
            <w:r w:rsidRPr="000A2073">
              <w:rPr>
                <w:rFonts w:ascii="Times New Roman" w:hAnsi="Times New Roman" w:cs="Times New Roman"/>
                <w:b w:val="0"/>
                <w:sz w:val="20"/>
              </w:rPr>
              <w:t xml:space="preserve">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62AAB"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62AAB"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60.2pt;height:19.5pt;mso-width-percent:0;mso-height-percent:0;mso-width-percent:0;mso-height-percent:0" o:ole="">
                  <v:imagedata r:id="rId13" o:title=""/>
                </v:shape>
                <o:OLEObject Type="Embed" ProgID="Equation.3" ShapeID="_x0000_i1032" DrawAspect="Content" ObjectID="_1673211741"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 xml:space="preserve">Proposal 6: The common timing offset is determined as the RTD from the reference point to the satellite, </w:t>
            </w:r>
            <w:proofErr w:type="gramStart"/>
            <w:r w:rsidRPr="00FB0CB2">
              <w:rPr>
                <w:lang w:val="en-US"/>
              </w:rPr>
              <w:t>i.e.</w:t>
            </w:r>
            <w:proofErr w:type="gramEnd"/>
            <w:r w:rsidRPr="00FB0CB2">
              <w:rPr>
                <w:lang w:val="en-US"/>
              </w:rPr>
              <w:t xml:space="preserve"> by subtracting the delay compensated at the </w:t>
            </w:r>
            <w:proofErr w:type="spellStart"/>
            <w:r w:rsidRPr="00FB0CB2">
              <w:rPr>
                <w:lang w:val="en-US"/>
              </w:rPr>
              <w:t>gNB</w:t>
            </w:r>
            <w:proofErr w:type="spellEnd"/>
            <w:r w:rsidRPr="00FB0CB2">
              <w:rPr>
                <w:lang w:val="en-US"/>
              </w:rPr>
              <w:t xml:space="preserve">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 xml:space="preserve">Proposal 1: CTA granularity is based on a multiple of 16 samples interval, </w:t>
            </w:r>
            <w:proofErr w:type="gramStart"/>
            <w:r w:rsidRPr="00686073">
              <w:rPr>
                <w:rFonts w:eastAsia="SimSun"/>
                <w:lang w:eastAsia="zh-CN"/>
              </w:rPr>
              <w:t>e.g.</w:t>
            </w:r>
            <w:proofErr w:type="gramEnd"/>
            <w:r w:rsidRPr="00686073">
              <w:rPr>
                <w:rFonts w:eastAsia="SimSun"/>
                <w:lang w:eastAsia="zh-CN"/>
              </w:rPr>
              <w:t xml:space="preserve"> N*</w:t>
            </w:r>
            <w:r w:rsidR="00AE07FA" w:rsidRPr="00686073">
              <w:rPr>
                <w:noProof/>
                <w:position w:val="-10"/>
              </w:rPr>
              <w:object w:dxaOrig="1160" w:dyaOrig="340" w14:anchorId="0517556E">
                <v:shape id="_x0000_i1031" type="#_x0000_t75" alt="" style="width:58.45pt;height:17.7pt;mso-width-percent:0;mso-height-percent:0;mso-width-percent:0;mso-height-percent:0" o:ole="">
                  <v:imagedata r:id="rId15" o:title=""/>
                </v:shape>
                <o:OLEObject Type="Embed" ProgID="Equation.3" ShapeID="_x0000_i1031" DrawAspect="Content" ObjectID="_1673211742"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where the val</w:t>
            </w:r>
            <w:proofErr w:type="spellStart"/>
            <w:r w:rsidRPr="0076714E">
              <w:rPr>
                <w:color w:val="000000"/>
              </w:rPr>
              <w:t>ue</w:t>
            </w:r>
            <w:proofErr w:type="spellEnd"/>
            <w:r w:rsidRPr="0076714E">
              <w:rPr>
                <w:color w:val="000000"/>
              </w:rPr>
              <w:t xml:space="preserv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 xml:space="preserve">If the reference point is set at </w:t>
            </w:r>
            <w:proofErr w:type="spellStart"/>
            <w:r w:rsidRPr="0076714E">
              <w:rPr>
                <w:color w:val="000000"/>
              </w:rPr>
              <w:t>gNB</w:t>
            </w:r>
            <w:proofErr w:type="spellEnd"/>
            <w:r w:rsidRPr="0076714E">
              <w:rPr>
                <w:color w:val="000000"/>
              </w:rPr>
              <w:t>,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w:t>
            </w:r>
            <w:proofErr w:type="gramStart"/>
            <w:r w:rsidRPr="008A5E51">
              <w:rPr>
                <w:bCs/>
              </w:rPr>
              <w:t>NTA,offset</w:t>
            </w:r>
            <w:proofErr w:type="spellEnd"/>
            <w:proofErr w:type="gram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 xml:space="preserve">Proposal 3: Suggest </w:t>
            </w:r>
            <w:proofErr w:type="gramStart"/>
            <w:r w:rsidRPr="00857A5B">
              <w:rPr>
                <w:lang w:eastAsia="zh-CN"/>
              </w:rPr>
              <w:t>to apply</w:t>
            </w:r>
            <w:proofErr w:type="gramEnd"/>
            <w:r w:rsidRPr="00857A5B">
              <w:rPr>
                <w:lang w:eastAsia="zh-CN"/>
              </w:rPr>
              <w:t xml:space="preserve">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 xml:space="preserve">That is, the reference point (RP) is located at the </w:t>
      </w:r>
      <w:proofErr w:type="spellStart"/>
      <w:r w:rsidR="00743F8E">
        <w:rPr>
          <w:lang w:val="en-US"/>
        </w:rPr>
        <w:t>gNB</w:t>
      </w:r>
      <w:proofErr w:type="spellEnd"/>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w:t>
      </w:r>
      <w:proofErr w:type="spellStart"/>
      <w:r w:rsidR="00743F8E">
        <w:t>gNB</w:t>
      </w:r>
      <w:proofErr w:type="spellEnd"/>
      <w:r w:rsidR="00743F8E">
        <w:t xml:space="preserve">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proofErr w:type="spellStart"/>
      <w:r w:rsidR="00A92F13">
        <w:t>gNB</w:t>
      </w:r>
      <w:proofErr w:type="spellEnd"/>
      <w:r w:rsidR="00A92F13">
        <w:t xml:space="preserve"> compensates </w:t>
      </w:r>
      <w:r w:rsidR="00743F8E">
        <w:t>the RP-</w:t>
      </w:r>
      <w:proofErr w:type="spellStart"/>
      <w:r w:rsidR="00743F8E">
        <w:t>gNB</w:t>
      </w:r>
      <w:proofErr w:type="spellEnd"/>
      <w:r w:rsidR="00743F8E">
        <w:t xml:space="preserve">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proofErr w:type="spellStart"/>
      <w:r w:rsidR="0007645A">
        <w:t>gNB</w:t>
      </w:r>
      <w:proofErr w:type="spellEnd"/>
      <w:r w:rsidR="0007645A">
        <w:t>.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w:t>
      </w:r>
      <w:proofErr w:type="spellStart"/>
      <w:r w:rsidRPr="009D7359">
        <w:rPr>
          <w:lang w:val="en-US"/>
        </w:rPr>
        <w:t>gNB</w:t>
      </w:r>
      <w:proofErr w:type="spellEnd"/>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w:t>
      </w:r>
      <w:proofErr w:type="spellStart"/>
      <w:r>
        <w:rPr>
          <w:lang w:val="en-US"/>
        </w:rPr>
        <w:t>gNB</w:t>
      </w:r>
      <w:proofErr w:type="spellEnd"/>
      <w:r>
        <w:rPr>
          <w:lang w:val="en-US"/>
        </w:rPr>
        <w:t xml:space="preserve">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w:t>
      </w:r>
      <w:proofErr w:type="gramStart"/>
      <w:r w:rsidR="008245E4">
        <w:rPr>
          <w:lang w:val="en-US"/>
        </w:rPr>
        <w:t>provided</w:t>
      </w:r>
      <w:proofErr w:type="gramEnd"/>
      <w:r w:rsidR="008245E4">
        <w:rPr>
          <w:lang w:val="en-US"/>
        </w:rPr>
        <w:t xml:space="preserve">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ml:space="preserve">, </w:t>
            </w:r>
            <w:proofErr w:type="spellStart"/>
            <w:r w:rsidR="003F7329" w:rsidRPr="00157348">
              <w:rPr>
                <w:bCs/>
                <w:lang w:val="it-IT"/>
              </w:rPr>
              <w:t>Xiaomi</w:t>
            </w:r>
            <w:proofErr w:type="spellEnd"/>
            <w:r w:rsidR="00157348" w:rsidRPr="00157348">
              <w:rPr>
                <w:bCs/>
                <w:lang w:val="it-IT"/>
              </w:rPr>
              <w:t xml:space="preserve">, </w:t>
            </w:r>
            <w:proofErr w:type="spellStart"/>
            <w:r w:rsidR="00157348" w:rsidRPr="00157348">
              <w:rPr>
                <w:bCs/>
                <w:lang w:val="it-IT"/>
              </w:rPr>
              <w:t>Lenovo</w:t>
            </w:r>
            <w:proofErr w:type="spellEnd"/>
            <w:r w:rsidR="00157348" w:rsidRPr="00157348">
              <w:rPr>
                <w:bCs/>
                <w:lang w:val="it-IT"/>
              </w:rPr>
              <w:t xml:space="preserve">, Motorola </w:t>
            </w:r>
            <w:proofErr w:type="spellStart"/>
            <w:r w:rsidR="00157348" w:rsidRPr="00157348">
              <w:rPr>
                <w:bCs/>
                <w:lang w:val="it-IT"/>
              </w:rPr>
              <w:t>Mobility</w:t>
            </w:r>
            <w:proofErr w:type="spellEnd"/>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62AAB"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hint="eastAsia"/>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hint="eastAsia"/>
                <w:lang w:eastAsia="ko-KR"/>
              </w:rPr>
            </w:pPr>
            <w:r>
              <w:rPr>
                <w:rFonts w:eastAsia="Malgun Gothic"/>
                <w:lang w:eastAsia="ko-KR"/>
              </w:rPr>
              <w:t>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w:t>
      </w:r>
      <w:proofErr w:type="gramStart"/>
      <w:r>
        <w:rPr>
          <w:bCs/>
        </w:rPr>
        <w:t>But,</w:t>
      </w:r>
      <w:proofErr w:type="gramEnd"/>
      <w:r>
        <w:rPr>
          <w:bCs/>
        </w:rPr>
        <w:t xml:space="preserve">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lastRenderedPageBreak/>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 xml:space="preserve">Proposal 9: The common timing drift rate is indicated by the </w:t>
            </w:r>
            <w:proofErr w:type="spellStart"/>
            <w:r w:rsidRPr="006E08BB">
              <w:rPr>
                <w:lang w:val="en-US"/>
              </w:rPr>
              <w:t>gNB</w:t>
            </w:r>
            <w:proofErr w:type="spellEnd"/>
            <w:r w:rsidRPr="006E08BB">
              <w:rPr>
                <w:lang w:val="en-US"/>
              </w:rPr>
              <w:t>.</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 xml:space="preserve">In case of LEO based NTN, the </w:t>
            </w:r>
            <w:proofErr w:type="spellStart"/>
            <w:r w:rsidRPr="00B72F7D">
              <w:rPr>
                <w:lang w:val="en-US"/>
              </w:rPr>
              <w:t>gNB</w:t>
            </w:r>
            <w:proofErr w:type="spellEnd"/>
            <w:r w:rsidRPr="00B72F7D">
              <w:rPr>
                <w:lang w:val="en-US"/>
              </w:rPr>
              <w:t xml:space="preserve">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Observation 2: The </w:t>
            </w:r>
            <w:proofErr w:type="spellStart"/>
            <w:r w:rsidRPr="00905AFB">
              <w:rPr>
                <w:bCs/>
              </w:rPr>
              <w:t>gNB</w:t>
            </w:r>
            <w:proofErr w:type="spellEnd"/>
            <w:r w:rsidRPr="00905AFB">
              <w:rPr>
                <w:bCs/>
              </w:rPr>
              <w:t xml:space="preserve">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Proposal 5: The </w:t>
            </w:r>
            <w:proofErr w:type="spellStart"/>
            <w:r w:rsidRPr="00905AFB">
              <w:rPr>
                <w:bCs/>
              </w:rPr>
              <w:t>gNB</w:t>
            </w:r>
            <w:proofErr w:type="spellEnd"/>
            <w:r w:rsidRPr="00905AFB">
              <w:rPr>
                <w:bCs/>
              </w:rPr>
              <w:t xml:space="preserve">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w:t>
            </w:r>
            <w:r w:rsidRPr="00342A3A">
              <w:rPr>
                <w:bCs/>
              </w:rPr>
              <w:lastRenderedPageBreak/>
              <w:t>Networks, Reliance Jio</w:t>
            </w:r>
          </w:p>
        </w:tc>
        <w:tc>
          <w:tcPr>
            <w:tcW w:w="4068" w:type="pct"/>
          </w:tcPr>
          <w:p w14:paraId="2C358CA5" w14:textId="77777777" w:rsidR="00342A3A" w:rsidRPr="006242AB" w:rsidRDefault="00342A3A" w:rsidP="00DD2D6A">
            <w:pPr>
              <w:rPr>
                <w:lang w:eastAsia="zh-CN"/>
              </w:rPr>
            </w:pPr>
            <w:r w:rsidRPr="00342A3A">
              <w:rPr>
                <w:lang w:eastAsia="zh-CN"/>
              </w:rPr>
              <w:lastRenderedPageBreak/>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w:t>
      </w:r>
      <w:proofErr w:type="spellStart"/>
      <w:r w:rsidRPr="004938B5">
        <w:rPr>
          <w:rFonts w:eastAsia="SimSun"/>
          <w:b/>
          <w:lang w:val="en-US" w:eastAsia="x-none"/>
        </w:rPr>
        <w:t>gNB</w:t>
      </w:r>
      <w:proofErr w:type="spellEnd"/>
      <w:r w:rsidRPr="004938B5">
        <w:rPr>
          <w:rFonts w:eastAsia="SimSun"/>
          <w:b/>
          <w:lang w:val="en-US" w:eastAsia="x-none"/>
        </w:rPr>
        <w:t xml:space="preserve">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 xml:space="preserve">The </w:t>
            </w:r>
            <w:proofErr w:type="spellStart"/>
            <w:r w:rsidRPr="00E77DF6">
              <w:rPr>
                <w:rFonts w:eastAsiaTheme="minorEastAsia"/>
                <w:lang w:eastAsia="zh-CN"/>
              </w:rPr>
              <w:t>gNB</w:t>
            </w:r>
            <w:proofErr w:type="spellEnd"/>
            <w:r w:rsidRPr="00E77DF6">
              <w:rPr>
                <w:rFonts w:eastAsiaTheme="minorEastAsia"/>
                <w:lang w:eastAsia="zh-CN"/>
              </w:rPr>
              <w:t xml:space="preserve">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 xml:space="preserve">DL/UL timing difference due to the feeder link delay could be managed by </w:t>
            </w:r>
            <w:proofErr w:type="spellStart"/>
            <w:r>
              <w:rPr>
                <w:lang w:eastAsia="ja-JP"/>
              </w:rPr>
              <w:t>gNB</w:t>
            </w:r>
            <w:proofErr w:type="spellEnd"/>
            <w:r>
              <w:rPr>
                <w:lang w:eastAsia="ja-JP"/>
              </w:rPr>
              <w:t xml:space="preserve">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w:t>
            </w:r>
            <w:proofErr w:type="gramStart"/>
            <w:r>
              <w:rPr>
                <w:rFonts w:eastAsiaTheme="minorEastAsia"/>
                <w:lang w:eastAsia="zh-CN"/>
              </w:rPr>
              <w:t>tracking</w:t>
            </w:r>
            <w:proofErr w:type="gramEnd"/>
            <w:r>
              <w:rPr>
                <w:rFonts w:eastAsiaTheme="minorEastAsia"/>
                <w:lang w:eastAsia="zh-CN"/>
              </w:rPr>
              <w:t xml:space="preserve">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w:t>
            </w:r>
            <w:proofErr w:type="spellStart"/>
            <w:r w:rsidRPr="004938B5">
              <w:rPr>
                <w:rFonts w:eastAsia="SimSun"/>
                <w:b/>
                <w:lang w:val="en-US" w:eastAsia="x-none"/>
              </w:rPr>
              <w:t>gNB</w:t>
            </w:r>
            <w:proofErr w:type="spellEnd"/>
            <w:r w:rsidRPr="004938B5">
              <w:rPr>
                <w:rFonts w:eastAsia="SimSun"/>
                <w:b/>
                <w:lang w:val="en-US" w:eastAsia="x-none"/>
              </w:rPr>
              <w:t xml:space="preserve">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lastRenderedPageBreak/>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hint="eastAsia"/>
                <w:lang w:eastAsia="ko-KR"/>
              </w:rPr>
            </w:pPr>
            <w:r>
              <w:rPr>
                <w:rFonts w:eastAsia="Malgun Gothic"/>
                <w:lang w:eastAsia="ko-KR"/>
              </w:rPr>
              <w:t>Support</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w:t>
      </w:r>
      <w:proofErr w:type="gramStart"/>
      <w:r w:rsidRPr="003D551D">
        <w:rPr>
          <w:b/>
        </w:rPr>
        <w:t xml:space="preserve">of  </w:t>
      </w:r>
      <w:proofErr w:type="spellStart"/>
      <w:r w:rsidRPr="003D551D">
        <w:rPr>
          <w:b/>
        </w:rPr>
        <w:t>TA</w:t>
      </w:r>
      <w:proofErr w:type="gramEnd"/>
      <w:r w:rsidRPr="003D551D">
        <w:rPr>
          <w:b/>
        </w:rPr>
        <w:t>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Heading3"/>
      </w:pPr>
      <w:bookmarkStart w:id="10" w:name="_Toc62466220"/>
      <w:r>
        <w:lastRenderedPageBreak/>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 xml:space="preserve">TA margin is included within the Common TA. </w:t>
      </w:r>
      <w:proofErr w:type="gramStart"/>
      <w:r w:rsidRPr="00937020">
        <w:rPr>
          <w:lang w:val="en-US"/>
        </w:rPr>
        <w:t>i.e.;</w:t>
      </w:r>
      <w:proofErr w:type="gramEnd"/>
      <w:r w:rsidRPr="00937020">
        <w:rPr>
          <w:lang w:val="en-US"/>
        </w:rPr>
        <w:t xml:space="preserv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w:t>
            </w:r>
            <w:proofErr w:type="spellStart"/>
            <w:r>
              <w:t>gNB</w:t>
            </w:r>
            <w:proofErr w:type="spellEnd"/>
            <w:r>
              <w:t xml:space="preserve">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lastRenderedPageBreak/>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lastRenderedPageBreak/>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w:t>
      </w:r>
      <w:proofErr w:type="gramStart"/>
      <w:r w:rsidRPr="003C6282">
        <w:t>i.e.;</w:t>
      </w:r>
      <w:proofErr w:type="gramEnd"/>
      <w:r w:rsidRPr="003C6282">
        <w:t xml:space="preserv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w:t>
      </w:r>
      <w:proofErr w:type="spellStart"/>
      <w:r w:rsidR="00D76288" w:rsidRPr="00D76288">
        <w:t>gNB</w:t>
      </w:r>
      <w:proofErr w:type="spellEnd"/>
      <w:r w:rsidR="00D76288" w:rsidRPr="00D76288">
        <w:t xml:space="preserve">.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62AA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w:t>
            </w:r>
            <w:proofErr w:type="gramStart"/>
            <w:r>
              <w:rPr>
                <w:rFonts w:eastAsiaTheme="minorEastAsia"/>
                <w:lang w:eastAsia="zh-CN"/>
              </w:rPr>
              <w:t>e.g.</w:t>
            </w:r>
            <w:proofErr w:type="gramEnd"/>
            <w:r>
              <w:rPr>
                <w:rFonts w:eastAsiaTheme="minorEastAsia"/>
                <w:lang w:eastAsia="zh-CN"/>
              </w:rPr>
              <w:t xml:space="preserve">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hint="eastAsia"/>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hint="eastAsia"/>
                <w:lang w:eastAsia="ko-KR"/>
              </w:rPr>
            </w:pPr>
            <w:r>
              <w:rPr>
                <w:rFonts w:eastAsia="Malgun Gothic"/>
                <w:lang w:eastAsia="ko-KR"/>
              </w:rPr>
              <w:t xml:space="preserve">Not support. We also think TA margin can be absorbed by common </w:t>
            </w:r>
            <w:proofErr w:type="gramStart"/>
            <w:r>
              <w:rPr>
                <w:rFonts w:eastAsia="Malgun Gothic"/>
                <w:lang w:eastAsia="ko-KR"/>
              </w:rPr>
              <w:t>TA</w:t>
            </w:r>
            <w:proofErr w:type="gramEnd"/>
            <w:r w:rsidR="00D7638E">
              <w:rPr>
                <w:rFonts w:eastAsia="Malgun Gothic"/>
                <w:lang w:eastAsia="ko-KR"/>
              </w:rPr>
              <w:t xml:space="preserve"> so it is transparent to the UE.</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 xml:space="preserve">The value of </w:t>
      </w:r>
      <w:proofErr w:type="spellStart"/>
      <w:r w:rsidRPr="00393920">
        <w:t>TA_margin</w:t>
      </w:r>
      <w:bookmarkEnd w:id="11"/>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w:t>
      </w:r>
      <w:proofErr w:type="gramStart"/>
      <w:r w:rsidR="00366B83">
        <w:t>So</w:t>
      </w:r>
      <w:proofErr w:type="gramEnd"/>
      <w:r w:rsidR="00366B83">
        <w:t xml:space="preserve">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lastRenderedPageBreak/>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w:t>
            </w:r>
            <w:proofErr w:type="gramStart"/>
            <w:r>
              <w:t>assumption, and</w:t>
            </w:r>
            <w:proofErr w:type="gramEnd"/>
            <w:r>
              <w:t xml:space="preserve">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w:t>
            </w:r>
            <w:proofErr w:type="spellStart"/>
            <w:r>
              <w:t>gNB</w:t>
            </w:r>
            <w:proofErr w:type="spellEnd"/>
            <w:r>
              <w:t xml:space="preserve">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w:t>
      </w:r>
      <w:proofErr w:type="gramStart"/>
      <w:r w:rsidRPr="0061093B">
        <w:rPr>
          <w:lang w:val="en-US"/>
        </w:rPr>
        <w:t>assumption, and</w:t>
      </w:r>
      <w:proofErr w:type="gramEnd"/>
      <w:r w:rsidRPr="0061093B">
        <w:rPr>
          <w:lang w:val="en-US"/>
        </w:rPr>
        <w:t xml:space="preserve">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w:t>
      </w:r>
      <w:proofErr w:type="gramStart"/>
      <w:r w:rsidR="00DA4572">
        <w:rPr>
          <w:lang w:val="en-US"/>
        </w:rPr>
        <w:t xml:space="preserve">target </w:t>
      </w:r>
      <w:r>
        <w:rPr>
          <w:lang w:val="en-US"/>
        </w:rPr>
        <w:t xml:space="preserve"> not</w:t>
      </w:r>
      <w:proofErr w:type="gramEnd"/>
      <w:r>
        <w:rPr>
          <w:lang w:val="en-US"/>
        </w:rPr>
        <w:t xml:space="preserve">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w:t>
      </w:r>
      <w:proofErr w:type="spellStart"/>
      <w:r w:rsidR="009D7220">
        <w:rPr>
          <w:lang w:val="en-US"/>
        </w:rPr>
        <w:t>gNB</w:t>
      </w:r>
      <w:proofErr w:type="spellEnd"/>
      <w:r w:rsidR="009D7220">
        <w:rPr>
          <w:lang w:val="en-US"/>
        </w:rPr>
        <w:t xml:space="preserve">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w:t>
      </w:r>
      <w:r w:rsidR="001C0FF3">
        <w:lastRenderedPageBreak/>
        <w:t xml:space="preserve">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w:t>
            </w:r>
            <w:proofErr w:type="spellStart"/>
            <w:r>
              <w:rPr>
                <w:rFonts w:eastAsiaTheme="minorEastAsia"/>
                <w:lang w:eastAsia="zh-CN"/>
              </w:rPr>
              <w:t>ge</w:t>
            </w:r>
            <w:proofErr w:type="spellEnd"/>
            <w:r>
              <w:rPr>
                <w:rFonts w:eastAsiaTheme="minorEastAsia"/>
                <w:lang w:eastAsia="zh-CN"/>
              </w:rPr>
              <w:t xml:space="preserv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 xml:space="preserve">Note that per RAN1 practise, the bar of reverting a working assumption is high, </w:t>
            </w:r>
            <w:proofErr w:type="gramStart"/>
            <w:r w:rsidRPr="002E2133">
              <w:rPr>
                <w:rFonts w:eastAsiaTheme="minorEastAsia"/>
                <w:bCs/>
                <w:lang w:eastAsia="zh-CN"/>
              </w:rPr>
              <w:t>e.g.</w:t>
            </w:r>
            <w:proofErr w:type="gramEnd"/>
            <w:r w:rsidRPr="002E2133">
              <w:rPr>
                <w:rFonts w:eastAsiaTheme="minorEastAsia"/>
                <w:bCs/>
                <w:lang w:eastAsia="zh-CN"/>
              </w:rPr>
              <w:t xml:space="preserve">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w:t>
      </w:r>
      <w:proofErr w:type="gramStart"/>
      <w:r w:rsidR="002A24A2" w:rsidRPr="005F6D8C">
        <w:rPr>
          <w:lang w:val="en-US"/>
        </w:rPr>
        <w:t>is</w:t>
      </w:r>
      <w:proofErr w:type="gramEnd"/>
      <w:r w:rsidR="002A24A2" w:rsidRPr="005F6D8C">
        <w:rPr>
          <w:lang w:val="en-US"/>
        </w:rPr>
        <w:t xml:space="preserve">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 xml:space="preserve">Proposal 4: In RRC_CONNECTED mode, RAN1 to ensure that </w:t>
            </w:r>
            <w:proofErr w:type="spellStart"/>
            <w:r w:rsidRPr="00BD4D7B">
              <w:t>gNB</w:t>
            </w:r>
            <w:proofErr w:type="spellEnd"/>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lastRenderedPageBreak/>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xml:space="preserve">, </w:t>
      </w:r>
      <w:proofErr w:type="gramStart"/>
      <w:r w:rsidR="00811BAB">
        <w:rPr>
          <w:bCs/>
        </w:rPr>
        <w:t>Intel</w:t>
      </w:r>
      <w:r w:rsidR="00AC41AF">
        <w:rPr>
          <w:bCs/>
        </w:rPr>
        <w:t>]</w:t>
      </w:r>
      <w:r>
        <w:rPr>
          <w:bCs/>
        </w:rPr>
        <w:t xml:space="preserve"> </w:t>
      </w:r>
      <w:r>
        <w:rPr>
          <w:lang w:val="en-US"/>
        </w:rPr>
        <w:t xml:space="preserve"> proposed</w:t>
      </w:r>
      <w:proofErr w:type="gramEnd"/>
      <w:r>
        <w:rPr>
          <w:lang w:val="en-US"/>
        </w:rPr>
        <w:t xml:space="preserve">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hint="eastAsia"/>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lastRenderedPageBreak/>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 xml:space="preserve">For TA update in RRC_CONNECTED state, combination of both open </w:t>
      </w:r>
      <w:proofErr w:type="gramStart"/>
      <w:r w:rsidRPr="003C3A8D">
        <w:rPr>
          <w:lang w:val="en-US"/>
        </w:rPr>
        <w:t>( i.e.</w:t>
      </w:r>
      <w:proofErr w:type="gramEnd"/>
      <w:r w:rsidRPr="003C3A8D">
        <w:rPr>
          <w:lang w:val="en-US"/>
        </w:rPr>
        <w:t xml:space="preserv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30" type="#_x0000_t75" alt="" style="width:5in;height:35.4pt;mso-width-percent:0;mso-height-percent:0;mso-width-percent:0;mso-height-percent:0" o:ole="">
                  <v:imagedata r:id="rId17" o:title=""/>
                </v:shape>
                <o:OLEObject Type="Embed" ProgID="Equation.3" ShapeID="_x0000_i1030" DrawAspect="Content" ObjectID="_1673211743" r:id="rId18"/>
              </w:object>
            </w:r>
          </w:p>
          <w:p w14:paraId="3F8668AE" w14:textId="77777777" w:rsidR="00091473" w:rsidRPr="00943F9F" w:rsidRDefault="00091473" w:rsidP="00DD2D6A">
            <w:pPr>
              <w:pStyle w:val="ListParagraph"/>
              <w:ind w:left="420"/>
              <w:rPr>
                <w:rFonts w:eastAsia="SimSun"/>
                <w:iCs/>
              </w:rPr>
            </w:pPr>
            <w:proofErr w:type="gramStart"/>
            <w:r w:rsidRPr="00943F9F">
              <w:rPr>
                <w:rFonts w:eastAsia="SimSun" w:hint="eastAsia"/>
                <w:iCs/>
              </w:rPr>
              <w:t>where</w:t>
            </w:r>
            <w:proofErr w:type="gramEnd"/>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29" type="#_x0000_t75" alt="" style="width:36pt;height:19.5pt;mso-width-percent:0;mso-height-percent:0;mso-width-percent:0;mso-height-percent:0" o:ole="">
                  <v:imagedata r:id="rId19" o:title=""/>
                </v:shape>
                <o:OLEObject Type="Embed" ProgID="Equation.3" ShapeID="_x0000_i1029" DrawAspect="Content" ObjectID="_1673211744"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B62AAB"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28" type="#_x0000_t75" alt="" style="width:96.8pt;height:17.7pt;mso-width-percent:0;mso-height-percent:0;mso-width-percent:0;mso-height-percent:0" o:ole="">
                  <v:imagedata r:id="rId21" o:title=""/>
                </v:shape>
                <o:OLEObject Type="Embed" ProgID="Equation.3" ShapeID="_x0000_i1028" DrawAspect="Content" ObjectID="_1673211745"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27" type="#_x0000_t75" alt="" style="width:74.95pt;height:15.35pt;mso-width-percent:0;mso-height-percent:0;mso-width-percent:0;mso-height-percent:0" o:ole="">
                  <v:imagedata r:id="rId23" o:title=""/>
                </v:shape>
                <o:OLEObject Type="Embed" ProgID="Equation.3" ShapeID="_x0000_i1027" DrawAspect="Content" ObjectID="_1673211746"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B62AA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62AAB"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61161099">
                        <v:shape id="_x0000_i1026" type="#_x0000_t75" alt="" style="width:11.8pt;height:19.5pt;mso-width-percent:0;mso-height-percent:0;mso-width-percent:0;mso-height-percent:0" o:ole="">
                          <v:imagedata r:id="rId25" o:title=""/>
                        </v:shape>
                        <o:OLEObject Type="Embed" ProgID="Equation.3" ShapeID="_x0000_i1026" DrawAspect="Content" ObjectID="_1673211747"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proofErr w:type="gramStart"/>
            <w:r w:rsidRPr="002E557F">
              <w:t>Where</w:t>
            </w:r>
            <w:proofErr w:type="gramEnd"/>
          </w:p>
          <w:p w14:paraId="47B83400" w14:textId="77777777" w:rsidR="002E557F" w:rsidRPr="002E557F" w:rsidRDefault="00B62AA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B62AA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spellStart"/>
            <w:proofErr w:type="gramStart"/>
            <w:r w:rsidR="002E557F" w:rsidRPr="002E557F">
              <w:rPr>
                <w:bCs/>
                <w:lang w:eastAsia="ko-KR"/>
              </w:rPr>
              <w:t>gNB</w:t>
            </w:r>
            <w:proofErr w:type="spellEnd"/>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xml:space="preserve">: The common timing drift rate is indicated by the </w:t>
            </w:r>
            <w:proofErr w:type="spellStart"/>
            <w:r>
              <w:t>gNB</w:t>
            </w:r>
            <w:proofErr w:type="spellEnd"/>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 xml:space="preserve">Proposal 4: For TA update in RRC_CONNECTED, UE pre-compensation of satellite delay is </w:t>
            </w:r>
            <w:proofErr w:type="gramStart"/>
            <w:r w:rsidRPr="00CC2FEF">
              <w:t>used</w:t>
            </w:r>
            <w:proofErr w:type="gramEnd"/>
            <w:r w:rsidRPr="00CC2FEF">
              <w:t xml:space="preserve">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 xml:space="preserve">Proposal 4: Connect UE shall rely on its capability for track UE-specific TA variation on the service link. </w:t>
            </w:r>
            <w:proofErr w:type="spellStart"/>
            <w:r w:rsidRPr="00831424">
              <w:t>gNB</w:t>
            </w:r>
            <w:proofErr w:type="spell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 xml:space="preserve">Observation 2: The </w:t>
            </w:r>
            <w:proofErr w:type="spellStart"/>
            <w:r>
              <w:t>gNB</w:t>
            </w:r>
            <w:proofErr w:type="spellEnd"/>
            <w:r>
              <w:t xml:space="preserve">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w:t>
            </w:r>
            <w:proofErr w:type="spellStart"/>
            <w:r>
              <w:t>gNB</w:t>
            </w:r>
            <w:proofErr w:type="spellEnd"/>
            <w:r>
              <w:t xml:space="preserve"> signals common TA drift rate to enable autonomous TA update at UE. </w:t>
            </w:r>
          </w:p>
          <w:p w14:paraId="2238ED42" w14:textId="77777777" w:rsidR="00091473" w:rsidRDefault="00091473" w:rsidP="00DD2D6A">
            <w:r>
              <w:t xml:space="preserve">Proposal 6: The </w:t>
            </w:r>
            <w:proofErr w:type="spellStart"/>
            <w:r>
              <w:t>gNB</w:t>
            </w:r>
            <w:proofErr w:type="spellEnd"/>
            <w:r>
              <w:t xml:space="preserve">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Jio</w:t>
            </w:r>
          </w:p>
        </w:tc>
        <w:tc>
          <w:tcPr>
            <w:tcW w:w="4154" w:type="pct"/>
          </w:tcPr>
          <w:p w14:paraId="531B1A9C" w14:textId="77777777" w:rsidR="00B655EC" w:rsidRDefault="00B655EC" w:rsidP="00DD2D6A">
            <w:r w:rsidRPr="00B655EC">
              <w:t xml:space="preserve">Proposal 7: </w:t>
            </w:r>
            <w:proofErr w:type="spellStart"/>
            <w:r w:rsidRPr="00B655EC">
              <w:t>gNB</w:t>
            </w:r>
            <w:proofErr w:type="spellEnd"/>
            <w:r w:rsidRPr="00B655EC">
              <w:t xml:space="preserve"> should provide the set of instructions to refine the TA estimated by the UE for better control of the </w:t>
            </w:r>
            <w:proofErr w:type="spellStart"/>
            <w:r w:rsidRPr="00B655EC">
              <w:t>gNB</w:t>
            </w:r>
            <w:proofErr w:type="spellEnd"/>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Pr>
          <w:lang w:val="en-US"/>
        </w:rPr>
        <w:t>(</w:t>
      </w:r>
      <w:r w:rsidR="006D5D07" w:rsidRPr="006D5D07">
        <w:rPr>
          <w:lang w:val="en-US"/>
        </w:rPr>
        <w:t>( i.e.</w:t>
      </w:r>
      <w:proofErr w:type="gramEnd"/>
      <w:r w:rsidR="006D5D07" w:rsidRPr="006D5D07">
        <w:rPr>
          <w:lang w:val="en-US"/>
        </w:rPr>
        <w:t xml:space="preserv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proofErr w:type="spellStart"/>
      <w:r>
        <w:rPr>
          <w:b/>
        </w:rPr>
        <w:t>gNB</w:t>
      </w:r>
      <w:proofErr w:type="spellEnd"/>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proofErr w:type="spellStart"/>
      <w:r w:rsidR="00602313">
        <w:rPr>
          <w:b/>
        </w:rPr>
        <w:t>gNB</w:t>
      </w:r>
      <w:proofErr w:type="spellEnd"/>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 xml:space="preserve">of open loop component, many companies proposed that </w:t>
      </w:r>
      <w:proofErr w:type="spellStart"/>
      <w:r>
        <w:t>gNB</w:t>
      </w:r>
      <w:proofErr w:type="spellEnd"/>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hint="eastAsia"/>
                <w:lang w:eastAsia="ko-KR"/>
              </w:rPr>
            </w:pPr>
            <w:r>
              <w:rPr>
                <w:rFonts w:eastAsia="Malgun Gothic"/>
                <w:lang w:eastAsia="ko-KR"/>
              </w:rPr>
              <w:t>Support</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proofErr w:type="spellStart"/>
      <w:r w:rsidRPr="00BE3978">
        <w:rPr>
          <w:lang w:val="en-US"/>
        </w:rPr>
        <w:t>gNB</w:t>
      </w:r>
      <w:proofErr w:type="spellEnd"/>
      <w:r w:rsidRPr="00BE3978">
        <w:rPr>
          <w:lang w:val="en-US"/>
        </w:rPr>
        <w:t xml:space="preserve"> requires uplink transmission from the UE to adjust timing advance. Uplink transmissions allow the </w:t>
      </w:r>
      <w:proofErr w:type="spellStart"/>
      <w:r w:rsidRPr="00BE3978">
        <w:rPr>
          <w:lang w:val="en-US"/>
        </w:rPr>
        <w:t>gNB</w:t>
      </w:r>
      <w:proofErr w:type="spellEnd"/>
      <w:r w:rsidRPr="00BE3978">
        <w:rPr>
          <w:lang w:val="en-US"/>
        </w:rPr>
        <w:t xml:space="preserve"> to measure the existing timing and accordingly determine whether or not any adjustment is required. Depending on </w:t>
      </w:r>
      <w:proofErr w:type="spellStart"/>
      <w:r w:rsidRPr="00BE3978">
        <w:rPr>
          <w:lang w:val="en-US"/>
        </w:rPr>
        <w:t>gNB</w:t>
      </w:r>
      <w:proofErr w:type="spellEnd"/>
      <w:r w:rsidRPr="00BE3978">
        <w:rPr>
          <w:lang w:val="en-US"/>
        </w:rPr>
        <w:t xml:space="preserve"> implementation, an event driven TAC may be sent when the uplink time error exceeds a specific threshold or the </w:t>
      </w:r>
      <w:proofErr w:type="spellStart"/>
      <w:r w:rsidRPr="00BE3978">
        <w:rPr>
          <w:lang w:val="en-US"/>
        </w:rPr>
        <w:t>gNB</w:t>
      </w:r>
      <w:proofErr w:type="spellEnd"/>
      <w:r w:rsidRPr="00BE3978">
        <w:rPr>
          <w:lang w:val="en-US"/>
        </w:rPr>
        <w:t xml:space="preserve">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w:t>
      </w:r>
      <w:proofErr w:type="spellStart"/>
      <w:r w:rsidRPr="00BE3978">
        <w:rPr>
          <w:lang w:val="en-US"/>
        </w:rPr>
        <w:t>gNB</w:t>
      </w:r>
      <w:proofErr w:type="spellEnd"/>
      <w:r w:rsidRPr="00BE3978">
        <w:rPr>
          <w:lang w:val="en-US"/>
        </w:rPr>
        <w:t xml:space="preserve">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w:t>
      </w:r>
      <w:proofErr w:type="spellStart"/>
      <w:r w:rsidRPr="00BE3978">
        <w:rPr>
          <w:lang w:val="en-US"/>
        </w:rPr>
        <w:t>gNB</w:t>
      </w:r>
      <w:proofErr w:type="spellEnd"/>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lastRenderedPageBreak/>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w:t>
      </w:r>
      <w:proofErr w:type="gramStart"/>
      <w:r w:rsidRPr="00CF33D6">
        <w:rPr>
          <w:lang w:val="en-US"/>
        </w:rPr>
        <w:t>received,  UE</w:t>
      </w:r>
      <w:proofErr w:type="gramEnd"/>
      <w:r w:rsidRPr="00CF33D6">
        <w:rPr>
          <w:lang w:val="en-US"/>
        </w:rPr>
        <w:t xml:space="preserv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62AAB"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1E975818">
                <v:shape id="_x0000_i1025" type="#_x0000_t75" alt="" style="width:14.15pt;height:14.15pt;mso-width-percent:0;mso-height-percent:0;mso-width-percent:0;mso-height-percent:0" o:ole="">
                  <v:imagedata r:id="rId27" o:title=""/>
                </v:shape>
                <o:OLEObject Type="Embed" ProgID="Equation.3" ShapeID="_x0000_i1025" DrawAspect="Content" ObjectID="_1673211748"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62AA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19" w:name="_Toc62466229"/>
      <w:r>
        <w:lastRenderedPageBreak/>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w:t>
      </w:r>
      <w:proofErr w:type="gramStart"/>
      <w:r w:rsidRPr="00B64CFA">
        <w:rPr>
          <w:b/>
          <w:lang w:val="fr-FR"/>
        </w:rPr>
        <w:t>1:</w:t>
      </w:r>
      <w:proofErr w:type="gramEnd"/>
    </w:p>
    <w:p w14:paraId="45D7CB11" w14:textId="77777777" w:rsidR="00981F4F" w:rsidRPr="00B64CFA" w:rsidRDefault="00B62AA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62AA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B62AA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B62AA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w:t>
            </w:r>
            <w:proofErr w:type="gramStart"/>
            <w:r w:rsidRPr="001B668C">
              <w:t>open-loop</w:t>
            </w:r>
            <w:proofErr w:type="gramEnd"/>
            <w:r w:rsidRPr="001B668C">
              <w:t xml:space="preserve">, should not be defined only by relative increments/decrements since it would then be misaligned if </w:t>
            </w:r>
            <w:proofErr w:type="spellStart"/>
            <w:r w:rsidRPr="001B668C">
              <w:t>signaling</w:t>
            </w:r>
            <w:proofErr w:type="spellEnd"/>
            <w:r w:rsidRPr="001B668C">
              <w:t xml:space="preserve"> is lost. </w:t>
            </w:r>
            <w:proofErr w:type="gramStart"/>
            <w:r w:rsidRPr="001B668C">
              <w:t>Instead</w:t>
            </w:r>
            <w:proofErr w:type="gramEnd"/>
            <w:r w:rsidRPr="001B668C">
              <w:t xml:space="preserve"> the common TA should be defined in absolute terms. Ericsson’s proposal is to define it as follows:</w:t>
            </w:r>
          </w:p>
          <w:p w14:paraId="14228D18" w14:textId="77777777" w:rsidR="00706CD2" w:rsidRPr="001B668C" w:rsidRDefault="00B62AAB"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B62AA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w:t>
            </w:r>
            <w:proofErr w:type="gramStart"/>
            <w:r w:rsidR="00706CD2" w:rsidRPr="001B668C">
              <w:rPr>
                <w:rFonts w:ascii="Arial" w:hAnsi="Arial" w:cs="Arial"/>
              </w:rPr>
              <w:t>a ”timestamp</w:t>
            </w:r>
            <w:proofErr w:type="gramEnd"/>
            <w:r w:rsidR="00706CD2" w:rsidRPr="001B668C">
              <w:rPr>
                <w:rFonts w:ascii="Arial" w:hAnsi="Arial" w:cs="Arial"/>
              </w:rPr>
              <w:t>” slot number</w:t>
            </w:r>
          </w:p>
          <w:p w14:paraId="4CB7163D" w14:textId="77777777" w:rsidR="00706CD2" w:rsidRPr="001B668C" w:rsidRDefault="00B62AA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B62AAB"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77777777" w:rsidR="002C1FE5" w:rsidRDefault="00B62AAB"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proofErr w:type="spellStart"/>
            <w:r w:rsidR="002C1FE5">
              <w:rPr>
                <w:rFonts w:eastAsiaTheme="minorEastAsia"/>
                <w:lang w:eastAsia="zh-CN"/>
              </w:rPr>
              <w:t>gNB</w:t>
            </w:r>
            <w:proofErr w:type="spellEnd"/>
            <w:r w:rsidR="002C1FE5">
              <w:rPr>
                <w:rFonts w:eastAsiaTheme="minorEastAsia"/>
                <w:lang w:eastAsia="zh-CN"/>
              </w:rPr>
              <w:t xml:space="preserve"> position). </w:t>
            </w:r>
          </w:p>
          <w:p w14:paraId="79630858" w14:textId="7F61F201" w:rsidR="002C1FE5" w:rsidRPr="001B668C" w:rsidRDefault="00B62AAB"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B62AA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proofErr w:type="spellStart"/>
            <w:r w:rsidRPr="00FC62E9">
              <w:t>gNB</w:t>
            </w:r>
            <w:proofErr w:type="spellEnd"/>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proofErr w:type="spellStart"/>
            <w:r w:rsidRPr="00317A80">
              <w:rPr>
                <w:bCs/>
                <w:lang w:val="fr-FR"/>
              </w:rPr>
              <w:t>can</w:t>
            </w:r>
            <w:proofErr w:type="spellEnd"/>
            <w:r w:rsidRPr="00317A80">
              <w:rPr>
                <w:bCs/>
                <w:lang w:val="fr-FR"/>
              </w:rPr>
              <w:t xml:space="preserve"> </w:t>
            </w:r>
            <w:proofErr w:type="spellStart"/>
            <w:r w:rsidRPr="00317A80">
              <w:rPr>
                <w:bCs/>
                <w:lang w:val="fr-FR"/>
              </w:rPr>
              <w:t>be</w:t>
            </w:r>
            <w:proofErr w:type="spellEnd"/>
            <w:r w:rsidRPr="00317A80">
              <w:rPr>
                <w:bCs/>
                <w:lang w:val="fr-FR"/>
              </w:rPr>
              <w:t xml:space="preserve"> </w:t>
            </w:r>
            <w:proofErr w:type="spellStart"/>
            <w:r w:rsidRPr="00317A80">
              <w:rPr>
                <w:bCs/>
                <w:lang w:val="fr-FR"/>
              </w:rPr>
              <w:t>revised</w:t>
            </w:r>
            <w:proofErr w:type="spellEnd"/>
            <w:r w:rsidRPr="00317A80">
              <w:rPr>
                <w:bCs/>
                <w:lang w:val="fr-FR"/>
              </w:rPr>
              <w:t xml:space="preserve"> as </w:t>
            </w:r>
            <w:r w:rsidRPr="00317A80">
              <w:rPr>
                <w:bCs/>
              </w:rPr>
              <w:t xml:space="preserve">as </w:t>
            </w:r>
            <w:proofErr w:type="gramStart"/>
            <w:r w:rsidRPr="00317A80">
              <w:rPr>
                <w:bCs/>
              </w:rPr>
              <w:t>follows</w:t>
            </w:r>
            <w:r>
              <w:rPr>
                <w:bCs/>
              </w:rPr>
              <w:t>:</w:t>
            </w:r>
            <w:proofErr w:type="gramEnd"/>
            <w:r>
              <w:rPr>
                <w:bCs/>
              </w:rPr>
              <w:t xml:space="preserve"> </w:t>
            </w:r>
          </w:p>
          <w:p w14:paraId="4A73F5EB" w14:textId="77777777" w:rsidR="009629C1" w:rsidRPr="00B64CFA" w:rsidRDefault="00B62AAB"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B62AAB"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bl>
    <w:p w14:paraId="52673C22" w14:textId="77777777" w:rsidR="00D13848" w:rsidRPr="009629C1" w:rsidRDefault="00D13848" w:rsidP="00EE65B2">
      <w:pPr>
        <w:rPr>
          <w:lang w:val="fr-FR"/>
        </w:rPr>
      </w:pPr>
    </w:p>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lastRenderedPageBreak/>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w:t>
            </w:r>
            <w:proofErr w:type="gramStart"/>
            <w:r w:rsidRPr="008D57F8">
              <w:rPr>
                <w:rFonts w:eastAsia="SimSun"/>
                <w:iCs/>
              </w:rPr>
              <w:t>are</w:t>
            </w:r>
            <w:proofErr w:type="gramEnd"/>
            <w:r w:rsidRPr="008D57F8">
              <w:rPr>
                <w:rFonts w:eastAsia="SimSun"/>
                <w:iCs/>
              </w:rPr>
              <w:t xml:space="preserv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 xml:space="preserve">It is believed that the RACH capacity will be limited even in sparsely populated areas due to the </w:t>
            </w:r>
            <w:proofErr w:type="gramStart"/>
            <w:r w:rsidRPr="001B668C">
              <w:rPr>
                <w:lang w:val="en-US"/>
              </w:rPr>
              <w:t>large supported</w:t>
            </w:r>
            <w:proofErr w:type="gramEnd"/>
            <w:r w:rsidRPr="001B668C">
              <w:rPr>
                <w:lang w:val="en-US"/>
              </w:rPr>
              <w:t xml:space="preserve">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lastRenderedPageBreak/>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w:t>
      </w:r>
      <w:proofErr w:type="spellStart"/>
      <w:r>
        <w:t>gNB</w:t>
      </w:r>
      <w:proofErr w:type="spellEnd"/>
      <w:r>
        <w:t xml:space="preserve"> and to </w:t>
      </w:r>
      <w:proofErr w:type="gramStart"/>
      <w:r>
        <w:t>left</w:t>
      </w:r>
      <w:proofErr w:type="gramEnd"/>
      <w:r>
        <w:t xml:space="preserve">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 xml:space="preserve">Proposal 13: If UE performs frequency pre-compensation to counter the Doppler shift experienced on the service link based on its acquired GNSS position and satellite ephemeris, </w:t>
            </w:r>
            <w:proofErr w:type="spellStart"/>
            <w:r w:rsidRPr="00742D36">
              <w:t>gNB</w:t>
            </w:r>
            <w:proofErr w:type="spellEnd"/>
            <w:r w:rsidRPr="00742D36">
              <w:t xml:space="preserve"> can manage the other sources of frequency error (</w:t>
            </w:r>
            <w:proofErr w:type="gramStart"/>
            <w:r w:rsidRPr="00742D36">
              <w:t>e.g.</w:t>
            </w:r>
            <w:proofErr w:type="gramEnd"/>
            <w:r w:rsidRPr="00742D36">
              <w:t xml:space="preserve">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 xml:space="preserve">Using satellite as reference for time and frequency requirements affects compatibility with existing rel-16 </w:t>
            </w:r>
            <w:proofErr w:type="spellStart"/>
            <w:r>
              <w:t>gNB</w:t>
            </w:r>
            <w:proofErr w:type="spellEnd"/>
            <w:r>
              <w:t>.</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network and should at least support the option of having </w:t>
            </w:r>
            <w:proofErr w:type="spellStart"/>
            <w:r w:rsidRPr="00BB293E">
              <w:t>gNB</w:t>
            </w:r>
            <w:proofErr w:type="spellEnd"/>
            <w:r w:rsidRPr="00BB293E">
              <w:t xml:space="preserve">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w:t>
            </w:r>
            <w:proofErr w:type="spellStart"/>
            <w:r>
              <w:t>gNB</w:t>
            </w:r>
            <w:proofErr w:type="spellEnd"/>
            <w:r>
              <w:t xml:space="preserve"> or on the feeder link, the indication of frequency offset from feeder link or </w:t>
            </w:r>
            <w:proofErr w:type="spellStart"/>
            <w:r>
              <w:t>gNB</w:t>
            </w:r>
            <w:proofErr w:type="spellEnd"/>
            <w:r>
              <w:t xml:space="preserve"> location will be needed as UE has no information of </w:t>
            </w:r>
            <w:proofErr w:type="spellStart"/>
            <w:r>
              <w:t>gNB</w:t>
            </w:r>
            <w:proofErr w:type="spellEnd"/>
            <w:r>
              <w:t xml:space="preserve"> location.  When the referent point for frequency is located at satellite, the signalling can be avoided. </w:t>
            </w:r>
          </w:p>
          <w:p w14:paraId="6798176D" w14:textId="77777777" w:rsidR="003B6B17" w:rsidRDefault="003B6B17" w:rsidP="00743F8E">
            <w:pPr>
              <w:tabs>
                <w:tab w:val="left" w:pos="720"/>
              </w:tabs>
            </w:pPr>
            <w:r>
              <w:lastRenderedPageBreak/>
              <w:t xml:space="preserve">Observation 2: UL frequency synchronization at the </w:t>
            </w:r>
            <w:proofErr w:type="spellStart"/>
            <w:r>
              <w:t>gNB</w:t>
            </w:r>
            <w:proofErr w:type="spellEnd"/>
            <w:r>
              <w:t xml:space="preserve">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lastRenderedPageBreak/>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w:t>
              </w:r>
              <w:proofErr w:type="spellStart"/>
              <w:r w:rsidRPr="00890166">
                <w:rPr>
                  <w:i/>
                </w:rPr>
                <w:t>gNB</w:t>
              </w:r>
              <w:proofErr w:type="spellEnd"/>
              <w:r w:rsidRPr="00890166">
                <w:rPr>
                  <w:i/>
                </w:rPr>
                <w:t xml:space="preserve">.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w:t>
              </w:r>
              <w:proofErr w:type="spellStart"/>
              <w:r w:rsidRPr="00890166">
                <w:rPr>
                  <w:i/>
                </w:rPr>
                <w:t>gNB</w:t>
              </w:r>
              <w:proofErr w:type="spellEnd"/>
              <w:r w:rsidRPr="00890166">
                <w:rPr>
                  <w:i/>
                </w:rPr>
                <w:t>.</w:t>
              </w:r>
            </w:ins>
          </w:p>
        </w:tc>
      </w:tr>
    </w:tbl>
    <w:p w14:paraId="16696A92" w14:textId="77777777" w:rsidR="003B6B17" w:rsidRDefault="003B6B17" w:rsidP="003B6B17"/>
    <w:p w14:paraId="652A2EB7" w14:textId="77777777" w:rsidR="003B6B17" w:rsidRPr="00902581" w:rsidRDefault="003B6B17" w:rsidP="003B6B17">
      <w:pPr>
        <w:pStyle w:val="Heading3"/>
      </w:pPr>
      <w:bookmarkStart w:id="27" w:name="_Toc62466233"/>
      <w:r w:rsidRPr="00902581">
        <w:t>Companies views</w:t>
      </w:r>
      <w:bookmarkEnd w:id="2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w:t>
      </w:r>
      <w:proofErr w:type="spellStart"/>
      <w:r>
        <w:t>gNB</w:t>
      </w:r>
      <w:proofErr w:type="spellEnd"/>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 xml:space="preserve">Proposal 8: The </w:t>
            </w:r>
            <w:proofErr w:type="spellStart"/>
            <w:r w:rsidRPr="000D0738">
              <w:t>gNB</w:t>
            </w:r>
            <w:proofErr w:type="spellEnd"/>
            <w:r w:rsidRPr="000D0738">
              <w:t xml:space="preserve">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lastRenderedPageBreak/>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lastRenderedPageBreak/>
              <w:t>Apple</w:t>
            </w:r>
          </w:p>
        </w:tc>
        <w:tc>
          <w:tcPr>
            <w:tcW w:w="4068" w:type="pct"/>
          </w:tcPr>
          <w:p w14:paraId="328E4C92" w14:textId="77777777" w:rsidR="003B6B17" w:rsidRPr="00902581" w:rsidRDefault="003B6B17" w:rsidP="00743F8E">
            <w:pPr>
              <w:tabs>
                <w:tab w:val="left" w:pos="720"/>
              </w:tabs>
            </w:pPr>
            <w:r w:rsidRPr="00381168">
              <w:t xml:space="preserve">Proposal 10: Support </w:t>
            </w:r>
            <w:proofErr w:type="spellStart"/>
            <w:r w:rsidRPr="00381168">
              <w:t>gNB</w:t>
            </w:r>
            <w:proofErr w:type="spellEnd"/>
            <w:r w:rsidRPr="00381168">
              <w:t xml:space="preserve">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w:t>
      </w:r>
      <w:proofErr w:type="spellStart"/>
      <w:r>
        <w:t>gNB</w:t>
      </w:r>
      <w:proofErr w:type="spellEnd"/>
      <w:r>
        <w:t xml:space="preserve"> shall support such </w:t>
      </w:r>
      <w:proofErr w:type="spellStart"/>
      <w:r>
        <w:t>precompensation</w:t>
      </w:r>
      <w:proofErr w:type="spellEnd"/>
      <w:r>
        <w:t xml:space="preserve"> scheme. However, when the </w:t>
      </w:r>
      <w:proofErr w:type="spellStart"/>
      <w:r>
        <w:t>gNB</w:t>
      </w:r>
      <w:proofErr w:type="spellEnd"/>
      <w:r>
        <w:t xml:space="preserve">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w:t>
      </w:r>
      <w:proofErr w:type="spellStart"/>
      <w:r w:rsidRPr="00F36F21">
        <w:rPr>
          <w:b/>
        </w:rPr>
        <w:t>gNB</w:t>
      </w:r>
      <w:proofErr w:type="spellEnd"/>
      <w:r w:rsidRPr="00F36F21">
        <w:rPr>
          <w:b/>
        </w:rPr>
        <w:t xml:space="preserve">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xml:space="preserve">] have provided technical analysis and justifications in this sense. However, some companies observed that depending on the UE implementation [Huawei] or the pre/post compensation implementation at </w:t>
      </w:r>
      <w:proofErr w:type="spellStart"/>
      <w:r>
        <w:t>gNB</w:t>
      </w:r>
      <w:proofErr w:type="spellEnd"/>
      <w:r>
        <w:t xml:space="preserve">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offset is going to change proportionally to the radial acceleration between the satellite and the reference location on earth (</w:t>
      </w:r>
      <w:proofErr w:type="gramStart"/>
      <w:r>
        <w:t>e.g.</w:t>
      </w:r>
      <w:proofErr w:type="gramEnd"/>
      <w:r>
        <w:t xml:space="preserve"> beam </w:t>
      </w:r>
      <w:proofErr w:type="spellStart"/>
      <w:r>
        <w:t>center</w:t>
      </w:r>
      <w:proofErr w:type="spellEnd"/>
      <w:r>
        <w:t xml:space="preserve">) </w:t>
      </w:r>
      <w:proofErr w:type="spellStart"/>
      <w:r>
        <w:t>w.r.t.</w:t>
      </w:r>
      <w:proofErr w:type="spellEnd"/>
      <w:r>
        <w:t xml:space="preserve">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 xml:space="preserve">Indication of the reference point location </w:t>
      </w:r>
      <w:proofErr w:type="spellStart"/>
      <w:r>
        <w:t>w.r.t.</w:t>
      </w:r>
      <w:proofErr w:type="spellEnd"/>
      <w:r>
        <w:t xml:space="preserve">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w:t>
            </w:r>
            <w:proofErr w:type="spellStart"/>
            <w:r>
              <w:t>gNB</w:t>
            </w:r>
            <w:proofErr w:type="spellEnd"/>
            <w:r>
              <w:t xml:space="preserve"> applies frequency pre-compensation in DL, the </w:t>
            </w:r>
            <w:proofErr w:type="spellStart"/>
            <w:r>
              <w:t>gNB</w:t>
            </w:r>
            <w:proofErr w:type="spellEnd"/>
            <w:r>
              <w:t xml:space="preserve">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w:t>
            </w:r>
            <w:proofErr w:type="spellStart"/>
            <w:r w:rsidRPr="00D01CC2">
              <w:rPr>
                <w:lang w:val="en-US"/>
              </w:rPr>
              <w:t>gNB</w:t>
            </w:r>
            <w:proofErr w:type="spellEnd"/>
            <w:r w:rsidRPr="00D01CC2">
              <w:rPr>
                <w:lang w:val="en-US"/>
              </w:rPr>
              <w:t xml:space="preserve"> applies frequency pre-compensation in DL, the </w:t>
            </w:r>
            <w:proofErr w:type="spellStart"/>
            <w:r w:rsidRPr="00D01CC2">
              <w:rPr>
                <w:lang w:val="en-US"/>
              </w:rPr>
              <w:t>gNB</w:t>
            </w:r>
            <w:proofErr w:type="spellEnd"/>
            <w:r w:rsidRPr="00D01CC2">
              <w:rPr>
                <w:lang w:val="en-US"/>
              </w:rPr>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 xml:space="preserve">If NR NTN </w:t>
            </w:r>
            <w:proofErr w:type="spellStart"/>
            <w:r w:rsidRPr="00C46155">
              <w:rPr>
                <w:lang w:val="en-US"/>
              </w:rPr>
              <w:t>gNB</w:t>
            </w:r>
            <w:proofErr w:type="spellEnd"/>
            <w:r w:rsidRPr="00C46155">
              <w:rPr>
                <w:lang w:val="en-US"/>
              </w:rPr>
              <w:t xml:space="preserve"> applies frequency pre-compensation in DL, the </w:t>
            </w:r>
            <w:proofErr w:type="spellStart"/>
            <w:r w:rsidRPr="00C46155">
              <w:rPr>
                <w:lang w:val="en-US"/>
              </w:rPr>
              <w:t>gNB</w:t>
            </w:r>
            <w:proofErr w:type="spellEnd"/>
            <w:r w:rsidRPr="00C46155">
              <w:rPr>
                <w:lang w:val="en-US"/>
              </w:rPr>
              <w:t xml:space="preserve">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 xml:space="preserve">In case of earth-fixed cell, the beam-specific ECEF co-ordinates of a fixed Reference Point w.r.t the common Doppler shift experienced on the DL service link is pre-compensated by the </w:t>
            </w:r>
            <w:proofErr w:type="spellStart"/>
            <w:r w:rsidRPr="00C46155">
              <w:rPr>
                <w:lang w:val="en-US"/>
              </w:rPr>
              <w:t>gNB</w:t>
            </w:r>
            <w:proofErr w:type="spellEnd"/>
            <w:r w:rsidRPr="00C46155">
              <w:rPr>
                <w:lang w:val="en-US"/>
              </w:rPr>
              <w:t>.</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w:t>
            </w:r>
            <w:proofErr w:type="spellStart"/>
            <w:r w:rsidRPr="00D8654E">
              <w:rPr>
                <w:lang w:val="en-US"/>
              </w:rPr>
              <w:t>gNB</w:t>
            </w:r>
            <w:proofErr w:type="spellEnd"/>
            <w:r w:rsidRPr="00D8654E">
              <w:rPr>
                <w:lang w:val="en-US"/>
              </w:rPr>
              <w:t xml:space="preserve">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29" w:name="_Toc62466235"/>
      <w:r w:rsidRPr="00902581">
        <w:t>Companies views</w:t>
      </w:r>
      <w:bookmarkEnd w:id="2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lastRenderedPageBreak/>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w:t>
            </w:r>
            <w:proofErr w:type="gramStart"/>
            <w:r>
              <w:rPr>
                <w:rFonts w:eastAsiaTheme="minorEastAsia"/>
                <w:lang w:eastAsia="zh-CN"/>
              </w:rPr>
              <w:t>e.g.</w:t>
            </w:r>
            <w:proofErr w:type="gramEnd"/>
            <w:r>
              <w:rPr>
                <w:rFonts w:eastAsiaTheme="minorEastAsia"/>
                <w:lang w:eastAsia="zh-CN"/>
              </w:rPr>
              <w:t xml:space="preserve">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sidRPr="0008246C">
              <w:rPr>
                <w:rFonts w:eastAsiaTheme="minorEastAsia"/>
                <w:lang w:eastAsia="zh-CN"/>
              </w:rPr>
              <w:t xml:space="preserve">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0"/>
    </w:p>
    <w:p w14:paraId="56F7BD52" w14:textId="77777777" w:rsidR="003B6B17" w:rsidRDefault="003B6B17" w:rsidP="003B6B17">
      <w:r>
        <w:t>In RAN1#103</w:t>
      </w:r>
      <w:proofErr w:type="gramStart"/>
      <w:r>
        <w:t>e ,</w:t>
      </w:r>
      <w:proofErr w:type="gramEnd"/>
      <w:r>
        <w:t xml:space="preserve">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w:t>
      </w:r>
      <w:proofErr w:type="spellStart"/>
      <w:r>
        <w:t>gNB</w:t>
      </w:r>
      <w:proofErr w:type="spellEnd"/>
      <w:r>
        <w:t xml:space="preserve">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w:t>
      </w:r>
      <w:proofErr w:type="spellStart"/>
      <w:r w:rsidRPr="009B568E">
        <w:t>gNB</w:t>
      </w:r>
      <w:proofErr w:type="spellEnd"/>
      <w:r w:rsidRPr="009B568E">
        <w:t xml:space="preserve"> can set this </w:t>
      </w:r>
      <w:r>
        <w:t>offset</w:t>
      </w:r>
      <w:r w:rsidRPr="009B568E">
        <w:t xml:space="preserve"> equal to the amount of UL Doppler shift on the feeder link to eliminate the need for post-compensation at the </w:t>
      </w:r>
      <w:proofErr w:type="spellStart"/>
      <w:r w:rsidRPr="009B568E">
        <w:t>gNB</w:t>
      </w:r>
      <w:proofErr w:type="spellEnd"/>
      <w:r w:rsidRPr="009B568E">
        <w:t xml:space="preserve"> receiver, but it may also set it to a different value, or omit it, in case it prefers to perform (partial) post-compensation.</w:t>
      </w:r>
    </w:p>
    <w:p w14:paraId="60B30C17" w14:textId="77777777" w:rsidR="003B6B17" w:rsidRDefault="003B6B17" w:rsidP="003B6B17">
      <w:r>
        <w:t xml:space="preserve">[Huawei, CMCC] proposed to indicate the frequency offset post-compensated by the </w:t>
      </w:r>
      <w:proofErr w:type="spellStart"/>
      <w:r>
        <w:t>gNB</w:t>
      </w:r>
      <w:proofErr w:type="spellEnd"/>
      <w:r>
        <w:t xml:space="preserve"> so the UE can take it into account when performing pre-compensation. At the end, this approach is equivalent to the solution mentioned above.</w:t>
      </w:r>
    </w:p>
    <w:p w14:paraId="4FE3B2AF" w14:textId="77777777" w:rsidR="003B6B17" w:rsidRDefault="003B6B17" w:rsidP="003B6B17">
      <w:r>
        <w:t xml:space="preserve">At the end, supporting such feature seems beneficial to enable flexible </w:t>
      </w:r>
      <w:proofErr w:type="spellStart"/>
      <w:r>
        <w:t>gNB</w:t>
      </w:r>
      <w:proofErr w:type="spellEnd"/>
      <w:r>
        <w:t xml:space="preserve">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w:t>
            </w:r>
            <w:proofErr w:type="spellStart"/>
            <w:r w:rsidRPr="0091555F">
              <w:t>gNB</w:t>
            </w:r>
            <w:proofErr w:type="spellEnd"/>
            <w:r w:rsidRPr="0091555F">
              <w:t xml:space="preserve"> applies frequency post-compensation in UL, the </w:t>
            </w:r>
            <w:proofErr w:type="spellStart"/>
            <w:r w:rsidRPr="0091555F">
              <w:t>gNB</w:t>
            </w:r>
            <w:proofErr w:type="spellEnd"/>
            <w:r w:rsidRPr="0091555F">
              <w:t xml:space="preserve"> should broadcast a parameter giving the amount of frequency post-compensation, to achieve a </w:t>
            </w:r>
            <w:r w:rsidRPr="0091555F">
              <w:lastRenderedPageBreak/>
              <w:t xml:space="preserve">common understanding between UE and </w:t>
            </w:r>
            <w:proofErr w:type="spellStart"/>
            <w:r w:rsidRPr="0091555F">
              <w:t>gNB</w:t>
            </w:r>
            <w:proofErr w:type="spellEnd"/>
            <w:r w:rsidRPr="0091555F">
              <w:t>.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 xml:space="preserve">Proposal 13: If UE performs frequency pre-compensation to counter the Doppler shift experienced on the service link based on its acquired GNSS position and satellite ephemeris, </w:t>
            </w:r>
            <w:proofErr w:type="spellStart"/>
            <w:r w:rsidRPr="00985334">
              <w:t>gNB</w:t>
            </w:r>
            <w:proofErr w:type="spellEnd"/>
            <w:r w:rsidRPr="00985334">
              <w:t xml:space="preserve"> can manage the other sources of frequency error (</w:t>
            </w:r>
            <w:proofErr w:type="gramStart"/>
            <w:r w:rsidRPr="00985334">
              <w:t>e.g.</w:t>
            </w:r>
            <w:proofErr w:type="gramEnd"/>
            <w:r w:rsidRPr="00985334">
              <w:t xml:space="preserve">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 xml:space="preserve">The </w:t>
            </w:r>
            <w:proofErr w:type="spellStart"/>
            <w:r w:rsidRPr="00D01CC2">
              <w:t>gNB</w:t>
            </w:r>
            <w:proofErr w:type="spellEnd"/>
            <w:r w:rsidRPr="00D01CC2">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w:t>
            </w:r>
            <w:proofErr w:type="spellStart"/>
            <w:r>
              <w:t>gNB</w:t>
            </w:r>
            <w:proofErr w:type="spellEnd"/>
            <w:r>
              <w:t xml:space="preserve">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w:t>
            </w:r>
            <w:proofErr w:type="spellStart"/>
            <w:r>
              <w:t>gNB</w:t>
            </w:r>
            <w:proofErr w:type="spellEnd"/>
            <w:r>
              <w:t xml:space="preserve">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 xml:space="preserve">o Alt 2: post-compensation at the </w:t>
            </w:r>
            <w:proofErr w:type="spellStart"/>
            <w:r>
              <w:t>gNB</w:t>
            </w:r>
            <w:proofErr w:type="spellEnd"/>
            <w:r>
              <w:t xml:space="preserve">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31" w:name="_Toc62466237"/>
      <w:r w:rsidRPr="00902581">
        <w:t>Companies views</w:t>
      </w:r>
      <w:bookmarkEnd w:id="31"/>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 xml:space="preserve">rrent wording is a bit confusing, we think the indication should be the post-compensation that is done at the </w:t>
            </w:r>
            <w:proofErr w:type="spellStart"/>
            <w:r w:rsidR="00FF1FF3">
              <w:rPr>
                <w:rFonts w:eastAsiaTheme="minorEastAsia"/>
                <w:lang w:eastAsia="zh-CN"/>
              </w:rPr>
              <w:t>gNB</w:t>
            </w:r>
            <w:proofErr w:type="spellEnd"/>
            <w:r w:rsidR="00FF1FF3">
              <w:rPr>
                <w:rFonts w:eastAsiaTheme="minorEastAsia"/>
                <w:lang w:eastAsia="zh-CN"/>
              </w:rPr>
              <w:t xml:space="preserve">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w:t>
            </w:r>
            <w:proofErr w:type="spellStart"/>
            <w:r>
              <w:rPr>
                <w:rFonts w:eastAsiaTheme="minorEastAsia"/>
                <w:lang w:eastAsia="zh-CN"/>
              </w:rPr>
              <w:t>gNB</w:t>
            </w:r>
            <w:proofErr w:type="spellEnd"/>
            <w:r>
              <w:rPr>
                <w:rFonts w:eastAsiaTheme="minorEastAsia"/>
                <w:lang w:eastAsia="zh-CN"/>
              </w:rPr>
              <w:t xml:space="preserve">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lastRenderedPageBreak/>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bl>
    <w:p w14:paraId="5FFDA580" w14:textId="77777777" w:rsidR="003B6B17" w:rsidRPr="003B6B17" w:rsidRDefault="003B6B17" w:rsidP="0098100B"/>
    <w:p w14:paraId="20C30D59" w14:textId="77777777" w:rsidR="007F1B4A" w:rsidRDefault="007F1B4A" w:rsidP="00DE5015">
      <w:pPr>
        <w:pStyle w:val="Heading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3" w:name="_Toc62466239"/>
      <w:r w:rsidRPr="00902581">
        <w:t>Companies views</w:t>
      </w:r>
      <w:bookmarkEnd w:id="33"/>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 xml:space="preserve">indicated frequency pre-compensation. The </w:t>
            </w:r>
            <w:r w:rsidRPr="00B55FBF">
              <w:lastRenderedPageBreak/>
              <w:t>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lastRenderedPageBreak/>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 xml:space="preserve">sing referenceTimeInfo-R16 and UE based understanding of GNSS time will suffer less from the satellite movement in terms of timing advance as the reference point is at a static location (the </w:t>
      </w:r>
      <w:proofErr w:type="spellStart"/>
      <w:r w:rsidRPr="00321280">
        <w:t>gNB</w:t>
      </w:r>
      <w:proofErr w:type="spellEnd"/>
      <w:r w:rsidRPr="00321280">
        <w:t>).</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5" w:name="_Toc62466241"/>
      <w:r w:rsidRPr="00902581">
        <w:t>Companies views</w:t>
      </w:r>
      <w:bookmarkEnd w:id="35"/>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proofErr w:type="gramStart"/>
            <w:r>
              <w:rPr>
                <w:rFonts w:eastAsiaTheme="minorEastAsia"/>
                <w:lang w:eastAsia="zh-CN"/>
              </w:rPr>
              <w:t>necessary.To</w:t>
            </w:r>
            <w:proofErr w:type="spellEnd"/>
            <w:proofErr w:type="gram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w:t>
            </w:r>
            <w:proofErr w:type="gramStart"/>
            <w:r w:rsidR="00FF1D31">
              <w:rPr>
                <w:rFonts w:eastAsiaTheme="minorEastAsia"/>
                <w:lang w:eastAsia="zh-CN"/>
              </w:rPr>
              <w:t>impact</w:t>
            </w:r>
            <w:proofErr w:type="gramEnd"/>
            <w:r w:rsidR="00FF1D31">
              <w:rPr>
                <w:rFonts w:eastAsiaTheme="minorEastAsia"/>
                <w:lang w:eastAsia="zh-CN"/>
              </w:rPr>
              <w: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 xml:space="preserve">o specification </w:t>
            </w:r>
            <w:proofErr w:type="gramStart"/>
            <w:r>
              <w:rPr>
                <w:rFonts w:eastAsiaTheme="minorEastAsia"/>
                <w:lang w:eastAsia="zh-CN"/>
              </w:rPr>
              <w:t>impact</w:t>
            </w:r>
            <w:proofErr w:type="gramEnd"/>
            <w:r>
              <w:rPr>
                <w:rFonts w:eastAsiaTheme="minorEastAsia"/>
                <w:lang w:eastAsia="zh-CN"/>
              </w:rPr>
              <w: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w:t>
      </w:r>
      <w:proofErr w:type="gramStart"/>
      <w:r>
        <w:t>e.g.</w:t>
      </w:r>
      <w:proofErr w:type="gramEnd"/>
      <w:r>
        <w:t xml:space="preserve">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 xml:space="preserve">Proposal 14: For serving satellite ephemeris broadcast by the </w:t>
            </w:r>
            <w:proofErr w:type="spellStart"/>
            <w:r w:rsidRPr="00F21088">
              <w:t>gNB</w:t>
            </w:r>
            <w:proofErr w:type="spellEnd"/>
            <w:r w:rsidRPr="00F21088">
              <w:t>,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lastRenderedPageBreak/>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w:t>
            </w:r>
            <w:proofErr w:type="spellStart"/>
            <w:r>
              <w:t>gNB</w:t>
            </w:r>
            <w:proofErr w:type="spellEnd"/>
            <w:r>
              <w:t xml:space="preserve">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w:t>
            </w:r>
            <w:proofErr w:type="spellStart"/>
            <w:r>
              <w:t>gNB</w:t>
            </w:r>
            <w:proofErr w:type="spellEnd"/>
            <w:r>
              <w:t xml:space="preserve">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lastRenderedPageBreak/>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w:t>
            </w:r>
            <w:proofErr w:type="gramStart"/>
            <w:r>
              <w:t>e.g.</w:t>
            </w:r>
            <w:proofErr w:type="gramEnd"/>
            <w:r>
              <w:t xml:space="preserve">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 xml:space="preserve">Proposal 1: A </w:t>
            </w:r>
            <w:proofErr w:type="spellStart"/>
            <w:r>
              <w:t>gNB</w:t>
            </w:r>
            <w:proofErr w:type="spellEnd"/>
            <w:r>
              <w:t xml:space="preserve">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 xml:space="preserve">Observation 2:  Over the timescales of initial access, error to orbital prediction introduced by </w:t>
            </w:r>
            <w:proofErr w:type="gramStart"/>
            <w:r w:rsidRPr="0040269C">
              <w:t>e.g.</w:t>
            </w:r>
            <w:proofErr w:type="gramEnd"/>
            <w:r w:rsidRPr="0040269C">
              <w:t xml:space="preserve">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xml:space="preserve">)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w:t>
            </w:r>
            <w:proofErr w:type="gramStart"/>
            <w:r w:rsidRPr="00DF2FBA">
              <w:rPr>
                <w:rFonts w:eastAsia="PMingLiU"/>
                <w:sz w:val="20"/>
                <w:lang w:val="en-GB"/>
              </w:rPr>
              <w:t>e.g.</w:t>
            </w:r>
            <w:proofErr w:type="gramEnd"/>
            <w:r w:rsidRPr="00DF2FBA">
              <w:rPr>
                <w:rFonts w:eastAsia="PMingLiU"/>
                <w:sz w:val="20"/>
                <w:lang w:val="en-GB"/>
              </w:rPr>
              <w:t xml:space="preserve">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w:t>
            </w:r>
            <w:proofErr w:type="gramStart"/>
            <w:r w:rsidRPr="00DF2FBA">
              <w:rPr>
                <w:rFonts w:eastAsia="PMingLiU"/>
                <w:sz w:val="20"/>
                <w:lang w:val="en-GB"/>
              </w:rPr>
              <w:t>approach</w:t>
            </w:r>
            <w:proofErr w:type="gramEnd"/>
            <w:r w:rsidRPr="00DF2FBA">
              <w:rPr>
                <w:rFonts w:eastAsia="PMingLiU"/>
                <w:sz w:val="20"/>
                <w:lang w:val="en-GB"/>
              </w:rPr>
              <w:t xml:space="preserve">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w:t>
            </w:r>
            <w:proofErr w:type="spellStart"/>
            <w:r w:rsidRPr="002C1FE5">
              <w:rPr>
                <w:rFonts w:eastAsiaTheme="minorEastAsia"/>
                <w:lang w:eastAsia="zh-CN"/>
              </w:rPr>
              <w:t>gNB</w:t>
            </w:r>
            <w:proofErr w:type="spellEnd"/>
            <w:r w:rsidRPr="002C1FE5">
              <w:rPr>
                <w:rFonts w:eastAsiaTheme="minorEastAsia"/>
                <w:lang w:eastAsia="zh-CN"/>
              </w:rPr>
              <w:t xml:space="preserve">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w:t>
            </w:r>
            <w:proofErr w:type="gramStart"/>
            <w:r>
              <w:rPr>
                <w:rFonts w:cs="Arial"/>
              </w:rPr>
              <w:t>needs</w:t>
            </w:r>
            <w:proofErr w:type="gramEnd"/>
            <w:r>
              <w:rPr>
                <w:rFonts w:cs="Arial"/>
              </w:rPr>
              <w:t xml:space="preserve">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lastRenderedPageBreak/>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w:t>
            </w:r>
            <w:proofErr w:type="gramStart"/>
            <w:r w:rsidRPr="00B50F7E">
              <w:rPr>
                <w:bCs/>
                <w:iCs/>
              </w:rPr>
              <w:t>e.g.</w:t>
            </w:r>
            <w:proofErr w:type="gramEnd"/>
            <w:r w:rsidRPr="00B50F7E">
              <w:rPr>
                <w:bCs/>
                <w:iCs/>
              </w:rPr>
              <w:t xml:space="preserve">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 xml:space="preserve">or serving satellite ephemeris broadcast by the </w:t>
            </w:r>
            <w:proofErr w:type="spellStart"/>
            <w:r w:rsidRPr="006E0BAF">
              <w:rPr>
                <w:bCs/>
                <w:iCs/>
              </w:rPr>
              <w:t>gNB</w:t>
            </w:r>
            <w:proofErr w:type="spellEnd"/>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w:t>
            </w:r>
            <w:proofErr w:type="gramStart"/>
            <w:r w:rsidRPr="002C1FE5">
              <w:rPr>
                <w:rFonts w:eastAsiaTheme="minorEastAsia"/>
                <w:lang w:eastAsia="zh-CN"/>
              </w:rPr>
              <w:t>use, but</w:t>
            </w:r>
            <w:proofErr w:type="gramEnd"/>
            <w:r w:rsidRPr="002C1FE5">
              <w:rPr>
                <w:rFonts w:eastAsiaTheme="minorEastAsia"/>
                <w:lang w:eastAsia="zh-CN"/>
              </w:rPr>
              <w:t xml:space="preserve">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w:t>
            </w:r>
            <w:proofErr w:type="spellStart"/>
            <w:r w:rsidRPr="002C1FE5">
              <w:rPr>
                <w:rFonts w:eastAsiaTheme="minorEastAsia"/>
                <w:lang w:eastAsia="zh-CN"/>
              </w:rPr>
              <w:t>gNB</w:t>
            </w:r>
            <w:proofErr w:type="spellEnd"/>
            <w:r w:rsidRPr="002C1FE5">
              <w:rPr>
                <w:rFonts w:eastAsiaTheme="minorEastAsia"/>
                <w:lang w:eastAsia="zh-CN"/>
              </w:rPr>
              <w:t xml:space="preserve">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lastRenderedPageBreak/>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 xml:space="preserve">We support FL recommendation 6-1. The reference time can be implicitly signalled, </w:t>
            </w:r>
            <w:proofErr w:type="gramStart"/>
            <w:r>
              <w:rPr>
                <w:rFonts w:eastAsiaTheme="minorEastAsia"/>
                <w:lang w:eastAsia="zh-CN"/>
              </w:rPr>
              <w:t>e.g.</w:t>
            </w:r>
            <w:proofErr w:type="gramEnd"/>
            <w:r>
              <w:rPr>
                <w:rFonts w:eastAsiaTheme="minorEastAsia"/>
                <w:lang w:eastAsia="zh-CN"/>
              </w:rPr>
              <w:t xml:space="preserve">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w:t>
            </w:r>
            <w:proofErr w:type="gramStart"/>
            <w:r w:rsidRPr="004E3384">
              <w:t>random access</w:t>
            </w:r>
            <w:proofErr w:type="gramEnd"/>
            <w:r w:rsidRPr="004E3384">
              <w:t xml:space="preserve"> attempt falls into the time window for the RACH occasion as defined by the </w:t>
            </w:r>
            <w:proofErr w:type="spellStart"/>
            <w:r w:rsidRPr="004E3384">
              <w:t>gNB</w:t>
            </w:r>
            <w:proofErr w:type="spellEnd"/>
            <w:r w:rsidRPr="004E3384">
              <w:t xml:space="preserve"> and minimize the interference to adjacent UL time slots/symbols. Frequency pre-compensation shall ensure that the Doppler effect is mitigated so that the preamble can be received by the </w:t>
            </w:r>
            <w:proofErr w:type="spellStart"/>
            <w:r w:rsidRPr="004E3384">
              <w:t>gNB</w:t>
            </w:r>
            <w:proofErr w:type="spellEnd"/>
            <w:r w:rsidRPr="004E3384">
              <w:t xml:space="preserve">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w:t>
            </w:r>
            <w:proofErr w:type="spellStart"/>
            <w:r w:rsidRPr="004E3384">
              <w:t>gNB</w:t>
            </w:r>
            <w:proofErr w:type="spellEnd"/>
            <w:r w:rsidRPr="004E3384">
              <w:t xml:space="preserve"> by using GNSS information: lag of the ephemeris information, precision of the ephemeris data, GNSS inaccuracy, orbit perturbations and </w:t>
            </w:r>
            <w:r w:rsidRPr="004E3384">
              <w:lastRenderedPageBreak/>
              <w:t>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41" w:name="_Ref54965867"/>
      <w:bookmarkStart w:id="4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lastRenderedPageBreak/>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w:t>
      </w:r>
      <w:proofErr w:type="gramStart"/>
      <w:r>
        <w:t>i.e.</w:t>
      </w:r>
      <w:proofErr w:type="gramEnd"/>
      <w:r>
        <w:t xml:space="preserv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w:t>
            </w:r>
            <w:proofErr w:type="spellStart"/>
            <w:r>
              <w:t>gNB</w:t>
            </w:r>
            <w:proofErr w:type="spellEnd"/>
            <w:r>
              <w:t xml:space="preserve">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xml:space="preserve">: The GNSS-assisted pre-compensation solution used by the UE must meet the demands of the preamble format chosen by the operator. The UE must ensure that </w:t>
            </w:r>
            <w:r w:rsidRPr="00A83E62">
              <w:lastRenderedPageBreak/>
              <w:t>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w:t>
            </w:r>
            <w:proofErr w:type="gramStart"/>
            <w:r w:rsidRPr="00134DAA">
              <w:t>min(</w:t>
            </w:r>
            <w:proofErr w:type="gramEnd"/>
            <w:r w:rsidRPr="00134DAA">
              <w:t xml:space="preserve">(CP-Delay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w:t>
      </w:r>
      <w:proofErr w:type="gramStart"/>
      <w:r w:rsidRPr="000448F0">
        <w:rPr>
          <w:b/>
          <w:lang w:val="en-US"/>
        </w:rPr>
        <w:t>i.e.</w:t>
      </w:r>
      <w:proofErr w:type="gramEnd"/>
      <w:r w:rsidRPr="000448F0">
        <w:rPr>
          <w:b/>
          <w:lang w:val="en-US"/>
        </w:rPr>
        <w:t xml:space="preserv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lastRenderedPageBreak/>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w:t>
            </w:r>
            <w:proofErr w:type="gramStart"/>
            <w:r>
              <w:rPr>
                <w:rFonts w:eastAsiaTheme="minorEastAsia"/>
                <w:lang w:eastAsia="zh-CN"/>
              </w:rPr>
              <w:t>proposals</w:t>
            </w:r>
            <w:proofErr w:type="gramEnd"/>
            <w:r>
              <w:rPr>
                <w:rFonts w:eastAsiaTheme="minorEastAsia"/>
                <w:lang w:eastAsia="zh-CN"/>
              </w:rPr>
              <w:t xml:space="preserve">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4" w:name="_Toc62466248"/>
      <w:r w:rsidRPr="00F75096">
        <w:t>Issue#</w:t>
      </w:r>
      <w:r w:rsidR="00614166">
        <w:t>9</w:t>
      </w:r>
      <w:r w:rsidRPr="00F75096">
        <w:t xml:space="preserve">: UE centric </w:t>
      </w:r>
      <w:proofErr w:type="spellStart"/>
      <w:r w:rsidRPr="00F75096">
        <w:t>precompensation</w:t>
      </w:r>
      <w:bookmarkEnd w:id="4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lastRenderedPageBreak/>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the satellite or at the </w:t>
            </w:r>
            <w:proofErr w:type="spellStart"/>
            <w:r w:rsidRPr="004A02C9">
              <w:rPr>
                <w:rFonts w:eastAsiaTheme="minorEastAsia"/>
                <w:lang w:eastAsia="zh-CN"/>
              </w:rPr>
              <w:t>gNB</w:t>
            </w:r>
            <w:proofErr w:type="spellEnd"/>
            <w:r w:rsidRPr="004A02C9">
              <w:rPr>
                <w:rFonts w:eastAsiaTheme="minorEastAsia"/>
                <w:lang w:eastAsia="zh-CN"/>
              </w:rPr>
              <w:t xml:space="preserve">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 xml:space="preserve">Broadcasting of the reference point of feeder link is not preferred. The required value can be indicated by the </w:t>
            </w:r>
            <w:proofErr w:type="spellStart"/>
            <w:r>
              <w:rPr>
                <w:rFonts w:eastAsiaTheme="minorEastAsia"/>
                <w:lang w:eastAsia="zh-CN"/>
              </w:rPr>
              <w:t>gNB</w:t>
            </w:r>
            <w:proofErr w:type="spellEnd"/>
            <w:r>
              <w:rPr>
                <w:rFonts w:eastAsiaTheme="minorEastAsia"/>
                <w:lang w:eastAsia="zh-CN"/>
              </w:rPr>
              <w:t xml:space="preserve">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w:t>
            </w:r>
            <w:proofErr w:type="spellStart"/>
            <w:r>
              <w:rPr>
                <w:rFonts w:eastAsiaTheme="minorEastAsia"/>
                <w:lang w:eastAsia="zh-CN"/>
              </w:rPr>
              <w:t>gNB</w:t>
            </w:r>
            <w:proofErr w:type="spellEnd"/>
            <w:r>
              <w:rPr>
                <w:rFonts w:eastAsiaTheme="minorEastAsia"/>
                <w:lang w:eastAsia="zh-CN"/>
              </w:rPr>
              <w:t xml:space="preserve"> location can be broadcast with sufficient accuracy (</w:t>
            </w:r>
            <w:proofErr w:type="gramStart"/>
            <w:r>
              <w:rPr>
                <w:rFonts w:eastAsiaTheme="minorEastAsia"/>
                <w:lang w:eastAsia="zh-CN"/>
              </w:rPr>
              <w:t>i.e.</w:t>
            </w:r>
            <w:proofErr w:type="gramEnd"/>
            <w:r>
              <w:rPr>
                <w:rFonts w:eastAsiaTheme="minorEastAsia"/>
                <w:lang w:eastAsia="zh-CN"/>
              </w:rPr>
              <w:t xml:space="preserv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w:t>
            </w:r>
            <w:proofErr w:type="spellStart"/>
            <w:r>
              <w:rPr>
                <w:rFonts w:eastAsiaTheme="minorEastAsia"/>
                <w:lang w:eastAsia="zh-CN"/>
              </w:rPr>
              <w:t>gNB</w:t>
            </w:r>
            <w:proofErr w:type="spellEnd"/>
            <w:r>
              <w:rPr>
                <w:rFonts w:eastAsiaTheme="minorEastAsia"/>
                <w:lang w:eastAsia="zh-CN"/>
              </w:rPr>
              <w:t xml:space="preserve"> position. The feeder link typically </w:t>
            </w:r>
            <w:proofErr w:type="gramStart"/>
            <w:r>
              <w:rPr>
                <w:rFonts w:eastAsiaTheme="minorEastAsia"/>
                <w:lang w:eastAsia="zh-CN"/>
              </w:rPr>
              <w:t>use</w:t>
            </w:r>
            <w:proofErr w:type="gramEnd"/>
            <w:r>
              <w:rPr>
                <w:rFonts w:eastAsiaTheme="minorEastAsia"/>
                <w:lang w:eastAsia="zh-CN"/>
              </w:rPr>
              <w:t xml:space="preserv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6" w:name="_Toc62466250"/>
      <w:r>
        <w:rPr>
          <w:rFonts w:ascii="Times New Roman" w:hAnsi="Times New Roman"/>
        </w:rPr>
        <w:t>Conclusion</w:t>
      </w:r>
      <w:bookmarkEnd w:id="4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7"/>
        </w:p>
        <w:p w14:paraId="19A31A7F" w14:textId="77777777" w:rsidR="00242BF8" w:rsidRDefault="00242BF8" w:rsidP="00242BF8">
          <w:pPr>
            <w:pStyle w:val="ListParagraph"/>
            <w:numPr>
              <w:ilvl w:val="0"/>
              <w:numId w:val="34"/>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lastRenderedPageBreak/>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proofErr w:type="gramStart"/>
          <w:r w:rsidRPr="00A86E5B">
            <w:t>CEWiT,IITM</w:t>
          </w:r>
          <w:proofErr w:type="gramEnd"/>
          <w:r w:rsidRPr="00A86E5B">
            <w:t>,IITH,Tejas</w:t>
          </w:r>
          <w:proofErr w:type="spellEnd"/>
          <w:r w:rsidRPr="00A86E5B">
            <w:t xml:space="preserve"> </w:t>
          </w:r>
          <w:proofErr w:type="spellStart"/>
          <w:r w:rsidRPr="00A86E5B">
            <w:t>Networks,Reliance</w:t>
          </w:r>
          <w:proofErr w:type="spellEnd"/>
          <w:r w:rsidRPr="00A86E5B">
            <w:t xml:space="preserv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ED0B" w14:textId="77777777" w:rsidR="00AE07FA" w:rsidRDefault="00AE07FA">
      <w:r>
        <w:separator/>
      </w:r>
    </w:p>
  </w:endnote>
  <w:endnote w:type="continuationSeparator" w:id="0">
    <w:p w14:paraId="7C5695C7" w14:textId="77777777" w:rsidR="00AE07FA" w:rsidRDefault="00AE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Times">
    <w:altName w:val="﷽﷽﷽﷽﷽﷽⸵"/>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F8C7C80" w:rsidR="00B62AAB" w:rsidRDefault="00B62AAB"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3C54" w14:textId="77777777" w:rsidR="00AE07FA" w:rsidRDefault="00AE07FA">
      <w:r>
        <w:separator/>
      </w:r>
    </w:p>
  </w:footnote>
  <w:footnote w:type="continuationSeparator" w:id="0">
    <w:p w14:paraId="3E438C50" w14:textId="77777777" w:rsidR="00AE07FA" w:rsidRDefault="00AE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B62AAB" w:rsidRDefault="00B62A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0E510-6890-4ADC-A16F-6FB496148F60}">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51</Pages>
  <Words>20766</Words>
  <Characters>118368</Characters>
  <Application>Microsoft Office Word</Application>
  <DocSecurity>0</DocSecurity>
  <Lines>986</Lines>
  <Paragraphs>277</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138857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문일 이</cp:lastModifiedBy>
  <cp:revision>2</cp:revision>
  <cp:lastPrinted>2017-11-03T16:53:00Z</cp:lastPrinted>
  <dcterms:created xsi:type="dcterms:W3CDTF">2021-01-27T05:15:00Z</dcterms:created>
  <dcterms:modified xsi:type="dcterms:W3CDTF">2021-01-27T05:15:00Z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