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Spreadtrum</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Spreadtrum</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lastRenderedPageBreak/>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w:t>
            </w:r>
            <w:r>
              <w:rPr>
                <w:rFonts w:hint="eastAsia"/>
              </w:rPr>
              <w:lastRenderedPageBreak/>
              <w:t>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lastRenderedPageBreak/>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lastRenderedPageBreak/>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Spreadtrum</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3F68A541"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Alt 2 is preferred. The LBT mode may include (quasi) omni-directional LBT, directional LBT, receiver-assisted LBT. Different LBT modes may be feasible and/or used for different scenarios o</w:t>
            </w:r>
            <w:r>
              <w:rPr>
                <w:rFonts w:eastAsiaTheme="minorEastAsia"/>
                <w:szCs w:val="20"/>
                <w:lang w:eastAsia="zh-CN"/>
              </w:rPr>
              <w:lastRenderedPageBreak/>
              <w:t xml:space="preserve">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lastRenderedPageBreak/>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lastRenderedPageBreak/>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w:t>
            </w:r>
            <w:r>
              <w:rPr>
                <w:lang w:val="en-US" w:eastAsia="zh-CN"/>
              </w:rPr>
              <w:lastRenderedPageBreak/>
              <w:t>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lastRenderedPageBreak/>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long term sensing such as RSSI measurement or HARQ feedback </w:t>
            </w:r>
            <w:r>
              <w:rPr>
                <w:szCs w:val="20"/>
              </w:rPr>
              <w:lastRenderedPageBreak/>
              <w:t>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lastRenderedPageBreak/>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lastRenderedPageBreak/>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lastRenderedPageBreak/>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r w:rsidR="00ED6EAD">
        <w:rPr>
          <w:lang w:eastAsia="en-US"/>
        </w:rPr>
        <w:t>, Spreadtrum</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lastRenderedPageBreak/>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w:t>
            </w:r>
            <w:r>
              <w:rPr>
                <w:szCs w:val="20"/>
              </w:rPr>
              <w:lastRenderedPageBreak/>
              <w:t>on</w:t>
            </w:r>
          </w:p>
        </w:tc>
        <w:tc>
          <w:tcPr>
            <w:tcW w:w="7837" w:type="dxa"/>
          </w:tcPr>
          <w:p w14:paraId="53887F84" w14:textId="77777777" w:rsidR="008715D3" w:rsidRDefault="008715D3" w:rsidP="008715D3">
            <w:r>
              <w:rPr>
                <w:szCs w:val="20"/>
              </w:rPr>
              <w:lastRenderedPageBreak/>
              <w:t>It is OK to change the baseline EDT from what was agreed in RAN1 103-e (</w:t>
            </w:r>
            <w:r w:rsidRPr="00B20EE2">
              <w:t>-47 dBm + 10 × log10 (PMax / Pout)</w:t>
            </w:r>
            <w:r>
              <w:t xml:space="preserve">) to the above formula used in the last draft of 302 567. In fact, using 2GHz </w:t>
            </w:r>
            <w:r>
              <w:lastRenderedPageBreak/>
              <w:t>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lastRenderedPageBreak/>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lastRenderedPageBreak/>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is allowed </w:t>
            </w:r>
            <w:r>
              <w:rPr>
                <w:szCs w:val="20"/>
              </w:rPr>
              <w:lastRenderedPageBreak/>
              <w:t>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0E45FFF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 NEC, ZTE, Convida (also fine), Sony</w:t>
      </w:r>
      <w:r w:rsidR="000D2C4A">
        <w:rPr>
          <w:lang w:eastAsia="en-US"/>
        </w:rPr>
        <w:t>, Spreadtrum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w:t>
            </w:r>
            <w:r>
              <w:rPr>
                <w:szCs w:val="20"/>
              </w:rPr>
              <w:lastRenderedPageBreak/>
              <w:t xml:space="preserve">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lastRenderedPageBreak/>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lastRenderedPageBreak/>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lastRenderedPageBreak/>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ListParagraph"/>
        <w:numPr>
          <w:ilvl w:val="1"/>
          <w:numId w:val="15"/>
        </w:numPr>
        <w:rPr>
          <w:lang w:eastAsia="en-US"/>
        </w:rPr>
      </w:pPr>
      <w:r>
        <w:rPr>
          <w:lang w:eastAsia="en-US"/>
        </w:rPr>
        <w:t>Apple, vivo, FW, Qualcomm, Ericsson, Samsung, Fujitsu, NEC, Xiaomi, Nokia, DCM, Convida</w:t>
      </w:r>
      <w:r w:rsidR="000D2C4A">
        <w:rPr>
          <w:lang w:eastAsia="en-US"/>
        </w:rPr>
        <w:t>, Spreadtrum</w:t>
      </w:r>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lastRenderedPageBreak/>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lastRenderedPageBreak/>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lastRenderedPageBreak/>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393E6A9E"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p>
    <w:p w14:paraId="0D3C24EB" w14:textId="23BE3B6A"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bookmarkStart w:id="22" w:name="_GoBack"/>
      <w:bookmarkEnd w:id="22"/>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signaling contention exemption for all the channels listed and PRACH/Msg A.  The listed channels should not be counted towards short control signaling </w:t>
            </w:r>
            <w:r>
              <w:rPr>
                <w:szCs w:val="20"/>
              </w:rPr>
              <w:lastRenderedPageBreak/>
              <w:t>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lastRenderedPageBreak/>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w:t>
            </w:r>
            <w:r w:rsidRPr="00D5235F">
              <w:rPr>
                <w:snapToGrid w:val="0"/>
                <w:kern w:val="2"/>
                <w:sz w:val="20"/>
              </w:rPr>
              <w:lastRenderedPageBreak/>
              <w:t>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Spreadtrum</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3"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4"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 xml:space="preserve">For multi-beam TDM scenario, select between Alt 2 and Alt 3 depending on whether sensing </w:t>
            </w:r>
            <w:r>
              <w:lastRenderedPageBreak/>
              <w:t>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Spreadtrum</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lastRenderedPageBreak/>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lastRenderedPageBreak/>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as long as global or region and deployment specific requirements (i.e., ETSI EN 302 </w:t>
            </w:r>
            <w:r>
              <w:lastRenderedPageBreak/>
              <w:t>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 xml:space="preserve">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w:t>
            </w:r>
            <w:r>
              <w:lastRenderedPageBreak/>
              <w:t>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lastRenderedPageBreak/>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r>
              <w:lastRenderedPageBreak/>
              <w:t>HiSilicon</w:t>
            </w:r>
          </w:p>
        </w:tc>
        <w:tc>
          <w:tcPr>
            <w:tcW w:w="7796" w:type="dxa"/>
          </w:tcPr>
          <w:p w14:paraId="1C3D2DB0" w14:textId="77777777" w:rsidR="00DF4A0D" w:rsidRDefault="001F433B">
            <w:r>
              <w:lastRenderedPageBreak/>
              <w:t xml:space="preserve">Proposal 2: For operation in NR-U-60, the EDT formula adopted from draft v2.1.20 of EN 302 567 </w:t>
            </w:r>
            <w:r>
              <w:lastRenderedPageBreak/>
              <w:t>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lastRenderedPageBreak/>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B08C244"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w:t>
            </w:r>
            <w:r>
              <w:rPr>
                <w:szCs w:val="20"/>
              </w:rPr>
              <w:lastRenderedPageBreak/>
              <w:t>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62AF2031"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Spreadtrum</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w:t>
            </w:r>
            <w:r>
              <w:rPr>
                <w:szCs w:val="20"/>
              </w:rPr>
              <w:lastRenderedPageBreak/>
              <w:t>cs</w:t>
            </w:r>
          </w:p>
        </w:tc>
        <w:tc>
          <w:tcPr>
            <w:tcW w:w="8017" w:type="dxa"/>
          </w:tcPr>
          <w:p w14:paraId="2B3608DC" w14:textId="77777777" w:rsidR="00DF4A0D" w:rsidRDefault="001F433B">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lastRenderedPageBreak/>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lastRenderedPageBreak/>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lastRenderedPageBreak/>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B244E9A" w:rsidR="004A6F97" w:rsidRDefault="004A6F97" w:rsidP="004A6F97">
      <w:pPr>
        <w:pStyle w:val="ListParagraph"/>
        <w:numPr>
          <w:ilvl w:val="1"/>
          <w:numId w:val="17"/>
        </w:numPr>
        <w:rPr>
          <w:lang w:eastAsia="en-US"/>
        </w:rPr>
      </w:pPr>
      <w:r>
        <w:rPr>
          <w:lang w:eastAsia="en-US"/>
        </w:rPr>
        <w:t>Apple, FW, QC (as part of no-LBT), Ericsson, LGE, Xiaomi, Nokia, DCM, Sony, Convida</w:t>
      </w:r>
      <w:r w:rsidR="000D2C4A">
        <w:rPr>
          <w:lang w:eastAsia="en-US"/>
        </w:rPr>
        <w:t>, Spreadtrum</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740F0AD1"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r w:rsidR="000D2C4A">
        <w:rPr>
          <w:lang w:eastAsia="en-US"/>
        </w:rPr>
        <w:t>, Spreadtrum</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eCCA </w:t>
      </w:r>
    </w:p>
    <w:p w14:paraId="1F766235" w14:textId="79CC95D0" w:rsidR="004A6F97" w:rsidRDefault="004A6F97" w:rsidP="004A6F97">
      <w:pPr>
        <w:pStyle w:val="ListParagraph"/>
        <w:numPr>
          <w:ilvl w:val="2"/>
          <w:numId w:val="17"/>
        </w:numPr>
        <w:rPr>
          <w:lang w:eastAsia="en-US"/>
        </w:rPr>
      </w:pPr>
      <w:r>
        <w:rPr>
          <w:lang w:eastAsia="en-US"/>
        </w:rPr>
        <w:t>Apple, QC, Intel, Fujitsu, Xiaomi, Lenovo, Sony, Convida, HW</w:t>
      </w:r>
      <w:r w:rsidR="000D2C4A">
        <w:rPr>
          <w:lang w:eastAsia="en-US"/>
        </w:rPr>
        <w:t>, Spreadtrum</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371FD22F" w:rsidR="004A6F97" w:rsidRDefault="004A6F97" w:rsidP="004A6F97">
      <w:pPr>
        <w:pStyle w:val="ListParagraph"/>
        <w:numPr>
          <w:ilvl w:val="2"/>
          <w:numId w:val="17"/>
        </w:numPr>
        <w:rPr>
          <w:lang w:eastAsia="en-US"/>
        </w:rPr>
      </w:pPr>
      <w:r>
        <w:rPr>
          <w:lang w:eastAsia="en-US"/>
        </w:rPr>
        <w:t>Apple, QC, Samsung, Intel, Fujitsu, Xiaomi, Lenovo (also HARQ ACK), Sony, Convida, HW</w:t>
      </w:r>
      <w:r w:rsidR="000D2C4A">
        <w:rPr>
          <w:lang w:eastAsia="en-US"/>
        </w:rPr>
        <w:t>, Spreadtrum</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w:t>
            </w:r>
            <w:r>
              <w:rPr>
                <w:szCs w:val="20"/>
              </w:rPr>
              <w:lastRenderedPageBreak/>
              <w:t>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lastRenderedPageBreak/>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lastRenderedPageBreak/>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lastRenderedPageBreak/>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lastRenderedPageBreak/>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lastRenderedPageBreak/>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lastRenderedPageBreak/>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1B07D591" w:rsidR="004A6F97" w:rsidRDefault="004A6F97" w:rsidP="004A6F97">
      <w:pPr>
        <w:pStyle w:val="ListParagraph"/>
        <w:numPr>
          <w:ilvl w:val="0"/>
          <w:numId w:val="22"/>
        </w:numPr>
        <w:rPr>
          <w:lang w:eastAsia="en-US"/>
        </w:rPr>
      </w:pPr>
      <w:r>
        <w:rPr>
          <w:lang w:eastAsia="en-US"/>
        </w:rPr>
        <w:t>Apple, vivo, FW, QC, Samsung, Intel, LGE, NEC, Xiaomi, Lenovo, Nokia, ZTE, Convida, HW</w:t>
      </w:r>
      <w:r w:rsidR="000D2C4A">
        <w:rPr>
          <w:lang w:eastAsia="en-US"/>
        </w:rPr>
        <w:t>, Spreadtrum</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55A0CB7" w:rsidR="004A6F97" w:rsidRDefault="004A6F97" w:rsidP="004A6F97">
      <w:pPr>
        <w:pStyle w:val="ListParagraph"/>
        <w:numPr>
          <w:ilvl w:val="0"/>
          <w:numId w:val="22"/>
        </w:numPr>
        <w:rPr>
          <w:lang w:eastAsia="en-US"/>
        </w:rPr>
      </w:pPr>
      <w:r>
        <w:rPr>
          <w:lang w:eastAsia="en-US"/>
        </w:rPr>
        <w:t>Vivo, QC, Samsung, Intel, LGE, CATT, NEC, Xiaomi, Lenovo, Nokia, ZTE, DCM, Convida, HW</w:t>
      </w:r>
      <w:r w:rsidR="000D2C4A">
        <w:rPr>
          <w:lang w:eastAsia="en-US"/>
        </w:rPr>
        <w:t>, Spreadtrum</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w:t>
            </w:r>
            <w:r>
              <w:rPr>
                <w:szCs w:val="20"/>
              </w:rPr>
              <w:lastRenderedPageBreak/>
              <w:t>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lastRenderedPageBreak/>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7E29EF9"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214FA8">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214FA8">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214FA8">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214FA8">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214FA8">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214FA8">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214FA8">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214FA8">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214FA8">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214FA8">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214FA8">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214FA8">
        <w:tc>
          <w:tcPr>
            <w:tcW w:w="1165" w:type="dxa"/>
          </w:tcPr>
          <w:p w14:paraId="494AB059" w14:textId="77777777" w:rsidR="00DF4A0D" w:rsidRDefault="001F433B">
            <w:pPr>
              <w:rPr>
                <w:rFonts w:eastAsiaTheme="minorEastAsia"/>
                <w:szCs w:val="20"/>
                <w:lang w:eastAsia="zh-CN"/>
              </w:rPr>
            </w:pPr>
            <w:r>
              <w:rPr>
                <w:szCs w:val="20"/>
              </w:rPr>
              <w:t>Lenovo, M</w:t>
            </w:r>
            <w:r>
              <w:rPr>
                <w:szCs w:val="20"/>
              </w:rPr>
              <w:lastRenderedPageBreak/>
              <w:t>otorola Mobility</w:t>
            </w:r>
          </w:p>
        </w:tc>
        <w:tc>
          <w:tcPr>
            <w:tcW w:w="8197" w:type="dxa"/>
          </w:tcPr>
          <w:p w14:paraId="515C2929" w14:textId="77777777" w:rsidR="00DF4A0D" w:rsidRDefault="001F433B">
            <w:pPr>
              <w:rPr>
                <w:rFonts w:eastAsiaTheme="minorEastAsia"/>
                <w:szCs w:val="20"/>
                <w:lang w:eastAsia="zh-CN"/>
              </w:rPr>
            </w:pPr>
            <w:r>
              <w:rPr>
                <w:szCs w:val="20"/>
              </w:rPr>
              <w:lastRenderedPageBreak/>
              <w:t>In our view, all the three alternatives should be supported. All three alternatives have their own mer</w:t>
            </w:r>
            <w:r>
              <w:rPr>
                <w:szCs w:val="20"/>
              </w:rPr>
              <w:lastRenderedPageBreak/>
              <w:t>it. As mentioned for previous discussion point, an explicit mapping between sensing beams and transmission beams could be supported and that could allow for supporting these alternatives.</w:t>
            </w:r>
          </w:p>
        </w:tc>
      </w:tr>
      <w:tr w:rsidR="00DF4A0D" w14:paraId="74613AE5" w14:textId="77777777" w:rsidTr="00214FA8">
        <w:tc>
          <w:tcPr>
            <w:tcW w:w="1165" w:type="dxa"/>
          </w:tcPr>
          <w:p w14:paraId="48BFEE4D" w14:textId="77777777" w:rsidR="00DF4A0D" w:rsidRDefault="001F433B">
            <w:pPr>
              <w:rPr>
                <w:szCs w:val="20"/>
              </w:rPr>
            </w:pPr>
            <w:r>
              <w:rPr>
                <w:szCs w:val="20"/>
              </w:rPr>
              <w:lastRenderedPageBreak/>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214FA8">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214FA8">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214FA8">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214FA8">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214FA8">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bl>
    <w:p w14:paraId="5C054200" w14:textId="77777777" w:rsidR="00DF4A0D" w:rsidRDefault="00DF4A0D">
      <w:pPr>
        <w:rPr>
          <w:b/>
          <w:bCs/>
          <w:lang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72344AD" w:rsidR="00067FC2" w:rsidRDefault="00067FC2" w:rsidP="00067FC2">
      <w:pPr>
        <w:pStyle w:val="ListParagraph"/>
        <w:numPr>
          <w:ilvl w:val="0"/>
          <w:numId w:val="17"/>
        </w:numPr>
        <w:rPr>
          <w:lang w:eastAsia="en-US"/>
        </w:rPr>
      </w:pPr>
      <w:r>
        <w:rPr>
          <w:lang w:eastAsia="en-US"/>
        </w:rPr>
        <w:t>Alt1: QC, Ericsson, LGE, CATT, Nokia, DCM, Sony</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48D6868D"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lastRenderedPageBreak/>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p>
    <w:p w14:paraId="02170C54" w14:textId="2EDE6BF4" w:rsidR="00B02360" w:rsidRDefault="00B02360">
      <w:pPr>
        <w:rPr>
          <w:lang w:eastAsia="en-US"/>
        </w:rPr>
      </w:pPr>
      <w:r>
        <w:rPr>
          <w:lang w:eastAsia="en-US"/>
        </w:rPr>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w:t>
            </w:r>
            <w:r w:rsidRPr="008428BB">
              <w:rPr>
                <w:snapToGrid w:val="0"/>
                <w:kern w:val="2"/>
                <w:sz w:val="20"/>
              </w:rPr>
              <w:lastRenderedPageBreak/>
              <w:t>“management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lastRenderedPageBreak/>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w:t>
            </w:r>
            <w:r>
              <w:rPr>
                <w:rFonts w:eastAsiaTheme="minorEastAsia"/>
                <w:szCs w:val="20"/>
                <w:lang w:eastAsia="zh-CN"/>
              </w:rPr>
              <w:lastRenderedPageBreak/>
              <w:t>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ZTE, Sanechips</w:t>
            </w:r>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lastRenderedPageBreak/>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0FA2" w14:textId="77777777" w:rsidR="00911180" w:rsidRDefault="00911180">
      <w:pPr>
        <w:spacing w:after="0"/>
      </w:pPr>
      <w:r>
        <w:separator/>
      </w:r>
    </w:p>
  </w:endnote>
  <w:endnote w:type="continuationSeparator" w:id="0">
    <w:p w14:paraId="233E48EB" w14:textId="77777777" w:rsidR="00911180" w:rsidRDefault="00911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ED6EAD" w:rsidRDefault="00ED6EA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ED6EAD" w:rsidRDefault="00ED6EAD">
    <w:pPr>
      <w:pStyle w:val="Footer"/>
    </w:pPr>
  </w:p>
  <w:p w14:paraId="424E5671" w14:textId="77777777" w:rsidR="00ED6EAD" w:rsidRDefault="00ED6EAD"/>
  <w:p w14:paraId="525700D2" w14:textId="77777777" w:rsidR="00ED6EAD" w:rsidRDefault="00ED6E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7F8A3719" w:rsidR="00ED6EAD" w:rsidRDefault="00ED6EA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145F99">
      <w:rPr>
        <w:rStyle w:val="PageNumber"/>
        <w:noProof/>
      </w:rPr>
      <w:t>54</w:t>
    </w:r>
    <w:r>
      <w:rPr>
        <w:rStyle w:val="PageNumber"/>
      </w:rPr>
      <w:fldChar w:fldCharType="end"/>
    </w:r>
  </w:p>
  <w:p w14:paraId="42091DA1" w14:textId="77777777" w:rsidR="00ED6EAD" w:rsidRDefault="00ED6EAD">
    <w:pPr>
      <w:pStyle w:val="Footer"/>
    </w:pPr>
  </w:p>
  <w:p w14:paraId="72C28606" w14:textId="77777777" w:rsidR="00ED6EAD" w:rsidRDefault="00ED6EAD"/>
  <w:p w14:paraId="2B9C7A89" w14:textId="77777777" w:rsidR="00ED6EAD" w:rsidRDefault="00ED6E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3F4DF" w14:textId="77777777" w:rsidR="00911180" w:rsidRDefault="00911180">
      <w:pPr>
        <w:spacing w:after="0"/>
      </w:pPr>
      <w:r>
        <w:separator/>
      </w:r>
    </w:p>
  </w:footnote>
  <w:footnote w:type="continuationSeparator" w:id="0">
    <w:p w14:paraId="4B8D4757" w14:textId="77777777" w:rsidR="00911180" w:rsidRDefault="009111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列出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列表段落 Char,¥¡¡¡¡ì¬º¥¹¥È¶ÎÂä Char,ÁÐ³ö¶ÎÂä Char,¥ê¥¹¥È¶ÎÂä Char,1st level - Bullet List Paragraph Char,列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1180EE2-D3AB-46DF-949D-AEAB791D877F}">
  <ds:schemaRefs>
    <ds:schemaRef ds:uri="http://schemas.openxmlformats.org/officeDocument/2006/bibliography"/>
  </ds:schemaRefs>
</ds:datastoreItem>
</file>

<file path=customXml/itemProps7.xml><?xml version="1.0" encoding="utf-8"?>
<ds:datastoreItem xmlns:ds="http://schemas.openxmlformats.org/officeDocument/2006/customXml" ds:itemID="{2A903A87-BAE5-4F73-9CC3-CF4079C3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25151</Words>
  <Characters>143362</Characters>
  <Application>Microsoft Office Word</Application>
  <DocSecurity>0</DocSecurity>
  <Lines>1194</Lines>
  <Paragraphs>336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3</cp:revision>
  <cp:lastPrinted>2019-01-10T09:30:00Z</cp:lastPrinted>
  <dcterms:created xsi:type="dcterms:W3CDTF">2021-01-27T16:17:00Z</dcterms:created>
  <dcterms:modified xsi:type="dcterms:W3CDTF">2021-01-27T19:20:00Z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