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8"/>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Alt SC.1. gNB/UE performs LBT over the channel bandwidth (or BWP bandwidth)</w:t>
      </w:r>
    </w:p>
    <w:p w14:paraId="28328745" w14:textId="4D7F4C79"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Spreadtrum</w:t>
      </w:r>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24D60BF9" w:rsidR="00DF4A0D" w:rsidRDefault="001F433B" w:rsidP="0010528C">
      <w:pPr>
        <w:pStyle w:val="a"/>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a"/>
        <w:numPr>
          <w:ilvl w:val="1"/>
          <w:numId w:val="23"/>
        </w:numPr>
        <w:rPr>
          <w:lang w:eastAsia="en-US"/>
        </w:rPr>
      </w:pPr>
      <w:r>
        <w:rPr>
          <w:lang w:eastAsia="en-US"/>
        </w:rPr>
        <w:t>Intel, Nokia (wideband carrier), ZTE</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Spreadtrum</w:t>
      </w:r>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a"/>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a"/>
        <w:numPr>
          <w:ilvl w:val="1"/>
          <w:numId w:val="24"/>
        </w:numPr>
        <w:rPr>
          <w:lang w:eastAsia="en-US"/>
        </w:rPr>
      </w:pPr>
      <w:r>
        <w:rPr>
          <w:lang w:eastAsia="en-US"/>
        </w:rPr>
        <w:t>Intel, ZTE</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ZTE, Sanechips</w:t>
            </w:r>
          </w:p>
        </w:tc>
        <w:tc>
          <w:tcPr>
            <w:tcW w:w="8107" w:type="dxa"/>
          </w:tcPr>
          <w:p w14:paraId="71C715BD" w14:textId="77777777" w:rsidR="00DF4A0D" w:rsidRDefault="001F433B">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p>
    <w:p w14:paraId="67F3104F" w14:textId="4C2F1DDE" w:rsidR="00DF4A0D" w:rsidRDefault="001F433B">
      <w:pPr>
        <w:pStyle w:val="a"/>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p>
    <w:tbl>
      <w:tblPr>
        <w:tblStyle w:val="af8"/>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lastRenderedPageBreak/>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t>No-LBT</w:t>
      </w:r>
    </w:p>
    <w:tbl>
      <w:tblPr>
        <w:tblStyle w:val="af8"/>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w:t>
            </w:r>
            <w:r>
              <w:rPr>
                <w:rFonts w:hint="eastAsia"/>
              </w:rPr>
              <w:lastRenderedPageBreak/>
              <w:t>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LBT-NoLBT switching</w:t>
      </w:r>
    </w:p>
    <w:tbl>
      <w:tblPr>
        <w:tblStyle w:val="af8"/>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lastRenderedPageBreak/>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lastRenderedPageBreak/>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8"/>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8"/>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8"/>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Spreadtrum</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3F68A541" w:rsidR="00F139B9" w:rsidRDefault="00F139B9" w:rsidP="00F139B9">
      <w:pPr>
        <w:pStyle w:val="a"/>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Alt 2 is preferred. The LBT mode may include (quasi) omni-directional LBT, directional LBT, receiver-assisted LBT. Different LBT modes may be feasible and/or used for different scenarios o</w:t>
            </w:r>
            <w:r>
              <w:rPr>
                <w:rFonts w:eastAsiaTheme="minorEastAsia"/>
                <w:szCs w:val="20"/>
                <w:lang w:eastAsia="zh-CN"/>
              </w:rPr>
              <w:lastRenderedPageBreak/>
              <w:t xml:space="preserve">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lastRenderedPageBreak/>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lastRenderedPageBreak/>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a"/>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r w:rsidR="00ED6EAD">
        <w:rPr>
          <w:lang w:eastAsia="en-US"/>
        </w:rPr>
        <w:t>Spreadtrum</w:t>
      </w:r>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8"/>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w:t>
            </w:r>
            <w:r>
              <w:rPr>
                <w:lang w:val="en-US" w:eastAsia="zh-CN"/>
              </w:rPr>
              <w:lastRenderedPageBreak/>
              <w:t>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lastRenderedPageBreak/>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8"/>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long term sensing such as RSSI measurement or HARQ feedback </w:t>
            </w:r>
            <w:r>
              <w:rPr>
                <w:szCs w:val="20"/>
              </w:rPr>
              <w:lastRenderedPageBreak/>
              <w:t>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Spreadtrum (RSSI/CO)</w:t>
      </w:r>
    </w:p>
    <w:p w14:paraId="3C6DFA27" w14:textId="34D39794" w:rsidR="0047420E" w:rsidRDefault="0047420E" w:rsidP="0047420E">
      <w:pPr>
        <w:pStyle w:val="a"/>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af8"/>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lastRenderedPageBreak/>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bl>
    <w:p w14:paraId="4CE65F8C" w14:textId="77777777" w:rsidR="00DF4A0D" w:rsidRDefault="00DF4A0D">
      <w:pPr>
        <w:rPr>
          <w:lang w:eastAsia="en-US"/>
        </w:rPr>
      </w:pPr>
    </w:p>
    <w:p w14:paraId="3CEC6197" w14:textId="77777777" w:rsidR="00DF4A0D" w:rsidRDefault="001F433B">
      <w:pPr>
        <w:pStyle w:val="2"/>
      </w:pPr>
      <w:r>
        <w:t>LBT Mode</w:t>
      </w:r>
    </w:p>
    <w:tbl>
      <w:tblPr>
        <w:tblStyle w:val="af8"/>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3"/>
      </w:pPr>
      <w:r>
        <w:t>Sensing Structures</w:t>
      </w:r>
    </w:p>
    <w:tbl>
      <w:tblPr>
        <w:tblStyle w:val="af8"/>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lastRenderedPageBreak/>
        <w:t>LBT Parameters, COT duration, Gaps</w:t>
      </w:r>
    </w:p>
    <w:tbl>
      <w:tblPr>
        <w:tblStyle w:val="af8"/>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lastRenderedPageBreak/>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a"/>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Convida, HW</w:t>
      </w:r>
      <w:r w:rsidR="00ED6EAD">
        <w:rPr>
          <w:lang w:eastAsia="en-US"/>
        </w:rPr>
        <w:t>, Spreadtrum</w:t>
      </w:r>
    </w:p>
    <w:tbl>
      <w:tblPr>
        <w:tblStyle w:val="af8"/>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lastRenderedPageBreak/>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w:t>
            </w:r>
            <w:r>
              <w:rPr>
                <w:szCs w:val="20"/>
              </w:rPr>
              <w:lastRenderedPageBreak/>
              <w:t>on</w:t>
            </w:r>
          </w:p>
        </w:tc>
        <w:tc>
          <w:tcPr>
            <w:tcW w:w="7837" w:type="dxa"/>
          </w:tcPr>
          <w:p w14:paraId="53887F84" w14:textId="77777777" w:rsidR="008715D3" w:rsidRDefault="008715D3" w:rsidP="008715D3">
            <w:r>
              <w:rPr>
                <w:szCs w:val="20"/>
              </w:rPr>
              <w:lastRenderedPageBreak/>
              <w:t>It is OK to change the baseline EDT from what was agreed in RAN1 103-e (</w:t>
            </w:r>
            <w:r w:rsidRPr="00B20EE2">
              <w:t>-47 dBm + 10 × log10 (PMax / Pout)</w:t>
            </w:r>
            <w:r>
              <w:t xml:space="preserve">) to the above formula used in the last draft of 302 567. In fact, using 2GHz </w:t>
            </w:r>
            <w:r>
              <w:lastRenderedPageBreak/>
              <w:t>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lastRenderedPageBreak/>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p>
    <w:p w14:paraId="2647CCE6" w14:textId="77777777" w:rsidR="00E9523D" w:rsidRDefault="00E9523D" w:rsidP="00E9523D">
      <w:pPr>
        <w:pStyle w:val="a"/>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a"/>
        <w:numPr>
          <w:ilvl w:val="0"/>
          <w:numId w:val="27"/>
        </w:numPr>
        <w:rPr>
          <w:lang w:eastAsia="en-US"/>
        </w:rPr>
      </w:pPr>
      <w:r>
        <w:rPr>
          <w:lang w:eastAsia="en-US"/>
        </w:rPr>
        <w:t>Further study:  HW</w:t>
      </w:r>
    </w:p>
    <w:tbl>
      <w:tblPr>
        <w:tblStyle w:val="af8"/>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lastRenderedPageBreak/>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8"/>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is allowed </w:t>
            </w:r>
            <w:r>
              <w:rPr>
                <w:szCs w:val="20"/>
              </w:rPr>
              <w:lastRenderedPageBreak/>
              <w:t>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2D410079"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0A827FD8"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 Xiaomi, Nokia (?), Convida (also fine)</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0E45FFF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 NEC, ZTE, Convida (also fine), Sony</w:t>
      </w:r>
      <w:r w:rsidR="000D2C4A">
        <w:rPr>
          <w:lang w:eastAsia="en-US"/>
        </w:rPr>
        <w:t>, Spreadtrum</w:t>
      </w:r>
    </w:p>
    <w:p w14:paraId="4AC1D32C" w14:textId="1B57B665" w:rsidR="00E9523D" w:rsidRDefault="00E9523D" w:rsidP="00E9523D">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w:t>
            </w:r>
            <w:r>
              <w:rPr>
                <w:szCs w:val="20"/>
              </w:rPr>
              <w:lastRenderedPageBreak/>
              <w:t xml:space="preserve">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lastRenderedPageBreak/>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bl>
    <w:p w14:paraId="1F1D9096" w14:textId="77777777" w:rsidR="00DF4A0D" w:rsidRDefault="001F433B">
      <w:pPr>
        <w:pStyle w:val="2"/>
      </w:pPr>
      <w:r>
        <w:t>CWS and CAPC</w:t>
      </w:r>
    </w:p>
    <w:tbl>
      <w:tblPr>
        <w:tblStyle w:val="af8"/>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lastRenderedPageBreak/>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lastRenderedPageBreak/>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a"/>
        <w:numPr>
          <w:ilvl w:val="1"/>
          <w:numId w:val="15"/>
        </w:numPr>
        <w:rPr>
          <w:lang w:eastAsia="en-US"/>
        </w:rPr>
      </w:pPr>
      <w:r>
        <w:rPr>
          <w:lang w:eastAsia="en-US"/>
        </w:rPr>
        <w:t>Apple, vivo, FW, Qualcomm, Ericsson, Samsung, Fujitsu, NEC, Xiaomi, Nokia, DCM, Convida</w:t>
      </w:r>
      <w:r w:rsidR="000D2C4A">
        <w:rPr>
          <w:lang w:eastAsia="en-US"/>
        </w:rPr>
        <w:t>, Spreadtrum</w:t>
      </w:r>
    </w:p>
    <w:p w14:paraId="2271EA85" w14:textId="4463B54C"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403B1BBB" w:rsidR="004F147D" w:rsidRDefault="004F147D" w:rsidP="004F147D">
      <w:pPr>
        <w:pStyle w:val="a"/>
        <w:numPr>
          <w:ilvl w:val="1"/>
          <w:numId w:val="15"/>
        </w:numPr>
        <w:rPr>
          <w:lang w:eastAsia="en-US"/>
        </w:rPr>
      </w:pPr>
      <w:r>
        <w:rPr>
          <w:lang w:eastAsia="en-US"/>
        </w:rPr>
        <w:t>Intel, LGE, CATT, Lenovo, ZTE, Sony (but not the same as Rel.16), HW</w:t>
      </w:r>
    </w:p>
    <w:tbl>
      <w:tblPr>
        <w:tblStyle w:val="af8"/>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lastRenderedPageBreak/>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8"/>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lastRenderedPageBreak/>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lastRenderedPageBreak/>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lastRenderedPageBreak/>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393E6A9E"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p>
    <w:p w14:paraId="0D3C24EB" w14:textId="68C0103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p>
    <w:p w14:paraId="625BE43D" w14:textId="77777777" w:rsidR="004F147D" w:rsidRDefault="004F147D">
      <w:pPr>
        <w:rPr>
          <w:lang w:eastAsia="en-US"/>
        </w:rPr>
      </w:pPr>
    </w:p>
    <w:tbl>
      <w:tblPr>
        <w:tblStyle w:val="af8"/>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lastRenderedPageBreak/>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宋体"/>
                <w:szCs w:val="20"/>
                <w:lang w:val="en-US" w:eastAsia="zh-CN"/>
              </w:rPr>
            </w:pPr>
            <w:r>
              <w:rPr>
                <w:rFonts w:eastAsia="宋体"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lastRenderedPageBreak/>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lastRenderedPageBreak/>
              <w:t>Spreadtrum</w:t>
            </w:r>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634C81B0"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Spreadtrum</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a"/>
        <w:numPr>
          <w:ilvl w:val="0"/>
          <w:numId w:val="21"/>
        </w:numPr>
        <w:rPr>
          <w:lang w:eastAsia="en-US"/>
        </w:rPr>
      </w:pPr>
      <w:r>
        <w:rPr>
          <w:lang w:eastAsia="en-US"/>
        </w:rPr>
        <w:t>Vivo, ZTE</w:t>
      </w:r>
      <w:r w:rsidR="00C10A4C">
        <w:rPr>
          <w:lang w:eastAsia="en-US"/>
        </w:rPr>
        <w:t>, HW</w:t>
      </w:r>
    </w:p>
    <w:tbl>
      <w:tblPr>
        <w:tblStyle w:val="af8"/>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w:t>
            </w:r>
            <w:r>
              <w:rPr>
                <w:szCs w:val="20"/>
              </w:rPr>
              <w:lastRenderedPageBreak/>
              <w:t>orola Mobility</w:t>
            </w:r>
          </w:p>
        </w:tc>
        <w:tc>
          <w:tcPr>
            <w:tcW w:w="8017" w:type="dxa"/>
          </w:tcPr>
          <w:p w14:paraId="6FF7343C" w14:textId="77777777" w:rsidR="00DF4A0D" w:rsidRDefault="001F433B">
            <w:pPr>
              <w:rPr>
                <w:rFonts w:eastAsiaTheme="minorEastAsia"/>
                <w:szCs w:val="20"/>
                <w:lang w:eastAsia="zh-CN"/>
              </w:rPr>
            </w:pPr>
            <w:r>
              <w:rPr>
                <w:szCs w:val="20"/>
              </w:rPr>
              <w:lastRenderedPageBreak/>
              <w:t>In our view, first we need to agree for what channels/signals, short control signalling can be appli</w:t>
            </w:r>
            <w:r>
              <w:rPr>
                <w:szCs w:val="20"/>
              </w:rPr>
              <w:lastRenderedPageBreak/>
              <w:t>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2"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3"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2"/>
      </w:pPr>
      <w:r>
        <w:t>Cat 2 LBT</w:t>
      </w:r>
    </w:p>
    <w:tbl>
      <w:tblPr>
        <w:tblStyle w:val="af8"/>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 xml:space="preserve">If sensing is supported within a COT, Type 2 channel access procedure with fixed sensing </w:t>
            </w:r>
            <w:r>
              <w:lastRenderedPageBreak/>
              <w:t>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537AAF05" w:rsidR="00C10A4C" w:rsidRDefault="00C10A4C" w:rsidP="00C10A4C">
      <w:pPr>
        <w:pStyle w:val="a"/>
        <w:numPr>
          <w:ilvl w:val="1"/>
          <w:numId w:val="15"/>
        </w:numPr>
        <w:rPr>
          <w:lang w:eastAsia="en-US"/>
        </w:rPr>
      </w:pPr>
      <w:r>
        <w:rPr>
          <w:lang w:eastAsia="en-US"/>
        </w:rPr>
        <w:t>Apple, Ericsson, Xiaomi, Nokia</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Spreadtrum</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Alt 3. Designing sensing aspects of Cat 2 could be straightforward as it is closely related to the co</w:t>
            </w:r>
            <w:r>
              <w:rPr>
                <w:szCs w:val="20"/>
              </w:rPr>
              <w:lastRenderedPageBreak/>
              <w:t xml:space="preserve">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lastRenderedPageBreak/>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 xml:space="preserve">For companies supporting introducing Cat 2 LBT, please list your view on which use cases (A/B/C/D) Cat 2 LBT can </w:t>
      </w:r>
      <w:r>
        <w:rPr>
          <w:lang w:eastAsia="en-US"/>
        </w:rPr>
        <w:lastRenderedPageBreak/>
        <w:t>be used for. Please add other use cases if not listed above.</w:t>
      </w:r>
    </w:p>
    <w:tbl>
      <w:tblPr>
        <w:tblStyle w:val="af8"/>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 xml:space="preserve">Observation 4: Generic requirements may be considered, e.g., that the beam(s) used in the LBT </w:t>
            </w:r>
            <w:r>
              <w:lastRenderedPageBreak/>
              <w:t>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lastRenderedPageBreak/>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lastRenderedPageBreak/>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8"/>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lastRenderedPageBreak/>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lastRenderedPageBreak/>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1B08C244" w:rsidR="00C10A4C" w:rsidRDefault="00C10A4C">
      <w:pPr>
        <w:pStyle w:val="a"/>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p>
    <w:tbl>
      <w:tblPr>
        <w:tblStyle w:val="af8"/>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w:t>
            </w:r>
            <w:r>
              <w:rPr>
                <w:szCs w:val="20"/>
              </w:rPr>
              <w:lastRenderedPageBreak/>
              <w:t>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lastRenderedPageBreak/>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62AF2031"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Spreadtrum</w:t>
      </w:r>
    </w:p>
    <w:tbl>
      <w:tblPr>
        <w:tblStyle w:val="af8"/>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w:t>
            </w:r>
            <w:r>
              <w:rPr>
                <w:szCs w:val="20"/>
              </w:rPr>
              <w:lastRenderedPageBreak/>
              <w:t>cs</w:t>
            </w:r>
          </w:p>
        </w:tc>
        <w:tc>
          <w:tcPr>
            <w:tcW w:w="8017" w:type="dxa"/>
          </w:tcPr>
          <w:p w14:paraId="2B3608DC" w14:textId="77777777" w:rsidR="00DF4A0D" w:rsidRDefault="001F433B">
            <w:pPr>
              <w:rPr>
                <w:szCs w:val="20"/>
              </w:rPr>
            </w:pPr>
            <w:r>
              <w:rPr>
                <w:rFonts w:hint="eastAsia"/>
                <w:szCs w:val="20"/>
              </w:rPr>
              <w:lastRenderedPageBreak/>
              <w:t>We support Alt 2.</w:t>
            </w:r>
            <w:r>
              <w:rPr>
                <w:szCs w:val="20"/>
              </w:rPr>
              <w:t xml:space="preserve"> Within the COT acquired by the LBT beams with specific direction and ED </w:t>
            </w:r>
            <w:r>
              <w:rPr>
                <w:szCs w:val="20"/>
              </w:rPr>
              <w:lastRenderedPageBreak/>
              <w:t>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宋体"/>
                <w:szCs w:val="20"/>
                <w:lang w:val="en-US" w:eastAsia="zh-CN"/>
              </w:rPr>
            </w:pPr>
            <w:r>
              <w:rPr>
                <w:rFonts w:eastAsia="宋体" w:hint="eastAsia"/>
                <w:szCs w:val="20"/>
                <w:lang w:val="en-US" w:eastAsia="zh-CN"/>
              </w:rPr>
              <w:t xml:space="preserve">in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bl>
    <w:p w14:paraId="3E6AD10E" w14:textId="77777777" w:rsidR="00DF4A0D" w:rsidRDefault="00DF4A0D">
      <w:pPr>
        <w:rPr>
          <w:lang w:eastAsia="en-US"/>
        </w:rPr>
      </w:pPr>
    </w:p>
    <w:p w14:paraId="22E2E4DF" w14:textId="77777777" w:rsidR="00DF4A0D" w:rsidRDefault="001F433B">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lastRenderedPageBreak/>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lastRenderedPageBreak/>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lastRenderedPageBreak/>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3B244E9A" w:rsidR="004A6F97" w:rsidRDefault="004A6F97" w:rsidP="004A6F97">
      <w:pPr>
        <w:pStyle w:val="a"/>
        <w:numPr>
          <w:ilvl w:val="1"/>
          <w:numId w:val="17"/>
        </w:numPr>
        <w:rPr>
          <w:lang w:eastAsia="en-US"/>
        </w:rPr>
      </w:pPr>
      <w:r>
        <w:rPr>
          <w:lang w:eastAsia="en-US"/>
        </w:rPr>
        <w:t>Apple, FW, QC (as part of no-LBT), Ericsson, LGE, Xiaomi, Nokia, DCM, Sony, Convida</w:t>
      </w:r>
      <w:r w:rsidR="000D2C4A">
        <w:rPr>
          <w:lang w:eastAsia="en-US"/>
        </w:rPr>
        <w:t>, Spreadtrum</w:t>
      </w:r>
    </w:p>
    <w:p w14:paraId="7CA4B1F4" w14:textId="422AF3CD" w:rsidR="00DF4A0D" w:rsidRDefault="001F433B">
      <w:pPr>
        <w:pStyle w:val="a"/>
        <w:numPr>
          <w:ilvl w:val="0"/>
          <w:numId w:val="17"/>
        </w:numPr>
        <w:rPr>
          <w:lang w:eastAsia="en-US"/>
        </w:rPr>
      </w:pPr>
      <w:r>
        <w:rPr>
          <w:lang w:eastAsia="en-US"/>
        </w:rPr>
        <w:t>Alt 2. AP-CSI report</w:t>
      </w:r>
    </w:p>
    <w:p w14:paraId="04D7E7B4" w14:textId="740F0AD1" w:rsidR="004A6F97" w:rsidRDefault="004A6F97" w:rsidP="004A6F97">
      <w:pPr>
        <w:pStyle w:val="a"/>
        <w:numPr>
          <w:ilvl w:val="1"/>
          <w:numId w:val="17"/>
        </w:numPr>
        <w:rPr>
          <w:lang w:eastAsia="en-US"/>
        </w:rPr>
      </w:pPr>
      <w:r>
        <w:rPr>
          <w:lang w:eastAsia="en-US"/>
        </w:rPr>
        <w:t>Apple, QC (as part of no-LBT), Ericsson, LGE, Fujitsu. CATT, Xiaomi, Lenovo (also P-CSI), Nokia, Sony, Convida</w:t>
      </w:r>
      <w:r w:rsidR="000D2C4A">
        <w:rPr>
          <w:lang w:eastAsia="en-US"/>
        </w:rPr>
        <w:t>, Spreadtrum</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eCCA </w:t>
      </w:r>
    </w:p>
    <w:p w14:paraId="1F766235" w14:textId="79CC95D0" w:rsidR="004A6F97" w:rsidRDefault="004A6F97" w:rsidP="004A6F97">
      <w:pPr>
        <w:pStyle w:val="a"/>
        <w:numPr>
          <w:ilvl w:val="2"/>
          <w:numId w:val="17"/>
        </w:numPr>
        <w:rPr>
          <w:lang w:eastAsia="en-US"/>
        </w:rPr>
      </w:pPr>
      <w:r>
        <w:rPr>
          <w:lang w:eastAsia="en-US"/>
        </w:rPr>
        <w:t>Apple, QC, Intel, Fujitsu, Xiaomi, Lenovo, Sony, Convida, HW</w:t>
      </w:r>
      <w:r w:rsidR="000D2C4A">
        <w:rPr>
          <w:lang w:eastAsia="en-US"/>
        </w:rPr>
        <w:t>, Spreadtrum</w:t>
      </w:r>
    </w:p>
    <w:p w14:paraId="63F300B6" w14:textId="2D0EE767" w:rsidR="00DF4A0D" w:rsidRDefault="001F433B">
      <w:pPr>
        <w:pStyle w:val="a"/>
        <w:numPr>
          <w:ilvl w:val="1"/>
          <w:numId w:val="17"/>
        </w:numPr>
        <w:rPr>
          <w:lang w:eastAsia="en-US"/>
        </w:rPr>
      </w:pPr>
      <w:r>
        <w:rPr>
          <w:lang w:eastAsia="en-US"/>
        </w:rPr>
        <w:t>Alt 3.2 Cat2 LBT</w:t>
      </w:r>
    </w:p>
    <w:p w14:paraId="2FD02D84" w14:textId="371FD22F" w:rsidR="004A6F97" w:rsidRDefault="004A6F97" w:rsidP="004A6F97">
      <w:pPr>
        <w:pStyle w:val="a"/>
        <w:numPr>
          <w:ilvl w:val="2"/>
          <w:numId w:val="17"/>
        </w:numPr>
        <w:rPr>
          <w:lang w:eastAsia="en-US"/>
        </w:rPr>
      </w:pPr>
      <w:r>
        <w:rPr>
          <w:lang w:eastAsia="en-US"/>
        </w:rPr>
        <w:t>Apple, QC, Samsung, Intel, Fujitsu, Xiaomi, Lenovo (also HARQ ACK), Sony, Convida, HW</w:t>
      </w:r>
      <w:r w:rsidR="000D2C4A">
        <w:rPr>
          <w:lang w:eastAsia="en-US"/>
        </w:rPr>
        <w:t>, Spreadtrum</w:t>
      </w:r>
    </w:p>
    <w:p w14:paraId="7C6F3F93" w14:textId="77777777" w:rsidR="00DF4A0D" w:rsidRDefault="00DF4A0D">
      <w:pPr>
        <w:rPr>
          <w:lang w:eastAsia="en-US"/>
        </w:rPr>
      </w:pPr>
    </w:p>
    <w:p w14:paraId="52E6D519" w14:textId="77777777" w:rsidR="00DF4A0D" w:rsidRDefault="00DF4A0D">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w:t>
            </w:r>
            <w:r>
              <w:rPr>
                <w:szCs w:val="20"/>
              </w:rPr>
              <w:lastRenderedPageBreak/>
              <w:t>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lastRenderedPageBreak/>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lastRenderedPageBreak/>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lastRenderedPageBreak/>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r>
        <w:t>Multibeam operation</w:t>
      </w:r>
    </w:p>
    <w:tbl>
      <w:tblPr>
        <w:tblStyle w:val="af8"/>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lastRenderedPageBreak/>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lastRenderedPageBreak/>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lastRenderedPageBreak/>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1B07D591" w:rsidR="004A6F97" w:rsidRDefault="004A6F97" w:rsidP="004A6F97">
      <w:pPr>
        <w:pStyle w:val="a"/>
        <w:numPr>
          <w:ilvl w:val="0"/>
          <w:numId w:val="22"/>
        </w:numPr>
        <w:rPr>
          <w:lang w:eastAsia="en-US"/>
        </w:rPr>
      </w:pPr>
      <w:r>
        <w:rPr>
          <w:lang w:eastAsia="en-US"/>
        </w:rPr>
        <w:t>Apple, vivo, FW, QC, Samsung, Intel, LGE, NEC, Xiaomi, Lenovo, Nokia, ZTE, Convida, HW</w:t>
      </w:r>
      <w:r w:rsidR="000D2C4A">
        <w:rPr>
          <w:lang w:eastAsia="en-US"/>
        </w:rPr>
        <w:t>, Spreadtrum</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755A0CB7" w:rsidR="004A6F97" w:rsidRDefault="004A6F97" w:rsidP="004A6F97">
      <w:pPr>
        <w:pStyle w:val="a"/>
        <w:numPr>
          <w:ilvl w:val="0"/>
          <w:numId w:val="22"/>
        </w:numPr>
        <w:rPr>
          <w:lang w:eastAsia="en-US"/>
        </w:rPr>
      </w:pPr>
      <w:r>
        <w:rPr>
          <w:lang w:eastAsia="en-US"/>
        </w:rPr>
        <w:t>Vivo, QC, Samsung, Intel, LGE, CATT, NEC, Xiaomi, Lenovo, Nokia, ZTE, DCM, Convida, HW</w:t>
      </w:r>
      <w:r w:rsidR="000D2C4A">
        <w:rPr>
          <w:lang w:eastAsia="en-US"/>
        </w:rPr>
        <w:t>, Spreadtrum</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w:t>
            </w:r>
            <w:r>
              <w:rPr>
                <w:szCs w:val="20"/>
              </w:rPr>
              <w:lastRenderedPageBreak/>
              <w:t>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lastRenderedPageBreak/>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宋体"/>
                <w:szCs w:val="20"/>
                <w:lang w:val="en-US" w:eastAsia="zh-CN"/>
              </w:rPr>
            </w:pPr>
            <w:r>
              <w:rPr>
                <w:rFonts w:eastAsia="宋体"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a"/>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Spreadtrum</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7E29EF9"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a"/>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DF4A0D" w14:paraId="26A9217D" w14:textId="77777777" w:rsidTr="00214FA8">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214FA8">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214FA8">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214FA8">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214FA8">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214FA8">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214FA8">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214FA8">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214FA8">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214FA8">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214FA8">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214FA8">
        <w:tc>
          <w:tcPr>
            <w:tcW w:w="1165" w:type="dxa"/>
          </w:tcPr>
          <w:p w14:paraId="494AB059" w14:textId="77777777" w:rsidR="00DF4A0D" w:rsidRDefault="001F433B">
            <w:pPr>
              <w:rPr>
                <w:rFonts w:eastAsiaTheme="minorEastAsia"/>
                <w:szCs w:val="20"/>
                <w:lang w:eastAsia="zh-CN"/>
              </w:rPr>
            </w:pPr>
            <w:r>
              <w:rPr>
                <w:szCs w:val="20"/>
              </w:rPr>
              <w:t>Lenovo, M</w:t>
            </w:r>
            <w:r>
              <w:rPr>
                <w:szCs w:val="20"/>
              </w:rPr>
              <w:lastRenderedPageBreak/>
              <w:t>otorola Mobility</w:t>
            </w:r>
          </w:p>
        </w:tc>
        <w:tc>
          <w:tcPr>
            <w:tcW w:w="8197" w:type="dxa"/>
          </w:tcPr>
          <w:p w14:paraId="515C2929" w14:textId="77777777" w:rsidR="00DF4A0D" w:rsidRDefault="001F433B">
            <w:pPr>
              <w:rPr>
                <w:rFonts w:eastAsiaTheme="minorEastAsia"/>
                <w:szCs w:val="20"/>
                <w:lang w:eastAsia="zh-CN"/>
              </w:rPr>
            </w:pPr>
            <w:r>
              <w:rPr>
                <w:szCs w:val="20"/>
              </w:rPr>
              <w:lastRenderedPageBreak/>
              <w:t>In our view, all the three alternatives should be supported. All three alternatives have their own mer</w:t>
            </w:r>
            <w:r>
              <w:rPr>
                <w:szCs w:val="20"/>
              </w:rPr>
              <w:lastRenderedPageBreak/>
              <w:t>it. As mentioned for previous discussion point, an explicit mapping between sensing beams and transmission beams could be supported and that could allow for supporting these alternatives.</w:t>
            </w:r>
          </w:p>
        </w:tc>
      </w:tr>
      <w:tr w:rsidR="00DF4A0D" w14:paraId="74613AE5" w14:textId="77777777" w:rsidTr="00214FA8">
        <w:tc>
          <w:tcPr>
            <w:tcW w:w="1165" w:type="dxa"/>
          </w:tcPr>
          <w:p w14:paraId="48BFEE4D" w14:textId="77777777" w:rsidR="00DF4A0D" w:rsidRDefault="001F433B">
            <w:pPr>
              <w:rPr>
                <w:szCs w:val="20"/>
              </w:rPr>
            </w:pPr>
            <w:r>
              <w:rPr>
                <w:szCs w:val="20"/>
              </w:rPr>
              <w:lastRenderedPageBreak/>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214FA8">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1F433B" w14:paraId="05F67C25" w14:textId="77777777" w:rsidTr="00214FA8">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214FA8">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214FA8">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214FA8">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bl>
    <w:p w14:paraId="5C054200" w14:textId="77777777" w:rsidR="00DF4A0D" w:rsidRDefault="00DF4A0D">
      <w:pPr>
        <w:rPr>
          <w:b/>
          <w:bCs/>
          <w:lang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8"/>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Alt 1 (Type A). Each channel performs independent eCCA</w:t>
      </w:r>
    </w:p>
    <w:p w14:paraId="39B695C2" w14:textId="77777777"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72344AD" w:rsidR="00067FC2" w:rsidRDefault="00067FC2" w:rsidP="00067FC2">
      <w:pPr>
        <w:pStyle w:val="a"/>
        <w:numPr>
          <w:ilvl w:val="0"/>
          <w:numId w:val="17"/>
        </w:numPr>
        <w:rPr>
          <w:lang w:eastAsia="en-US"/>
        </w:rPr>
      </w:pPr>
      <w:r>
        <w:rPr>
          <w:lang w:eastAsia="en-US"/>
        </w:rPr>
        <w:t>Alt1: QC, Ericsson, LGE, CATT, Nokia, DCM, Sony</w:t>
      </w:r>
    </w:p>
    <w:p w14:paraId="5A6386C2" w14:textId="4430F780" w:rsidR="00067FC2" w:rsidRDefault="00067FC2" w:rsidP="00067FC2">
      <w:pPr>
        <w:pStyle w:val="a"/>
        <w:numPr>
          <w:ilvl w:val="0"/>
          <w:numId w:val="17"/>
        </w:numPr>
        <w:rPr>
          <w:lang w:eastAsia="en-US"/>
        </w:rPr>
      </w:pPr>
      <w:r>
        <w:rPr>
          <w:lang w:eastAsia="en-US"/>
        </w:rPr>
        <w:t>Alt2</w:t>
      </w:r>
    </w:p>
    <w:p w14:paraId="2593BBA0" w14:textId="48D6868D" w:rsidR="00067FC2" w:rsidRDefault="00067FC2" w:rsidP="00067FC2">
      <w:pPr>
        <w:pStyle w:val="a"/>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p>
    <w:p w14:paraId="7B38DCC4" w14:textId="77777777" w:rsidR="00DF4A0D" w:rsidRDefault="00DF4A0D">
      <w:pPr>
        <w:rPr>
          <w:lang w:eastAsia="en-US"/>
        </w:rPr>
      </w:pPr>
    </w:p>
    <w:tbl>
      <w:tblPr>
        <w:tblStyle w:val="af8"/>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8"/>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lastRenderedPageBreak/>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54FB3E41"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p>
    <w:tbl>
      <w:tblPr>
        <w:tblStyle w:val="af8"/>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lastRenderedPageBreak/>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lastRenderedPageBreak/>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bookmarkStart w:id="24" w:name="_GoBack"/>
      <w:bookmarkEnd w:id="24"/>
    </w:p>
    <w:p w14:paraId="6F80AF00" w14:textId="3E3353A1" w:rsidR="00067FC2" w:rsidRDefault="00067FC2">
      <w:pPr>
        <w:rPr>
          <w:lang w:eastAsia="en-US"/>
        </w:rPr>
      </w:pPr>
      <w:r>
        <w:rPr>
          <w:lang w:eastAsia="en-US"/>
        </w:rPr>
        <w:t>Not support: Apple</w:t>
      </w:r>
    </w:p>
    <w:tbl>
      <w:tblPr>
        <w:tblStyle w:val="af8"/>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Hz),  LBT mode still be necessary at least for lower SCS the due to related restrictions. We are open to the detailed eCCA procedure, e.g. singl</w:t>
            </w:r>
            <w:r>
              <w:rPr>
                <w:rFonts w:eastAsiaTheme="minorEastAsia"/>
                <w:szCs w:val="20"/>
                <w:lang w:eastAsia="zh-CN"/>
              </w:rPr>
              <w:lastRenderedPageBreak/>
              <w:t xml:space="preserve">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Misc Issues</w:t>
      </w:r>
    </w:p>
    <w:tbl>
      <w:tblPr>
        <w:tblStyle w:val="af8"/>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ZTE, Sanechips</w:t>
            </w:r>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a"/>
        <w:numPr>
          <w:ilvl w:val="0"/>
          <w:numId w:val="18"/>
        </w:numPr>
        <w:rPr>
          <w:lang w:eastAsia="en-US"/>
        </w:rPr>
      </w:pPr>
      <w:r>
        <w:rPr>
          <w:lang w:eastAsia="en-US"/>
        </w:rPr>
        <w:lastRenderedPageBreak/>
        <w:t>R1-2100154, Discussion on channel access mechanism, OPPO</w:t>
      </w:r>
    </w:p>
    <w:p w14:paraId="5CE4836D" w14:textId="77777777" w:rsidR="00DF4A0D" w:rsidRDefault="001F433B">
      <w:pPr>
        <w:pStyle w:val="a"/>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C02B8" w14:textId="77777777" w:rsidR="00205808" w:rsidRDefault="00205808">
      <w:pPr>
        <w:spacing w:after="0"/>
      </w:pPr>
      <w:r>
        <w:separator/>
      </w:r>
    </w:p>
  </w:endnote>
  <w:endnote w:type="continuationSeparator" w:id="0">
    <w:p w14:paraId="169507C0" w14:textId="77777777" w:rsidR="00205808" w:rsidRDefault="002058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ED6EAD" w:rsidRDefault="00ED6EAD">
    <w:pPr>
      <w:pStyle w:val="af"/>
      <w:rPr>
        <w:rStyle w:val="afa"/>
      </w:rPr>
    </w:pPr>
    <w:r>
      <w:rPr>
        <w:rStyle w:val="afa"/>
      </w:rPr>
      <w:fldChar w:fldCharType="begin"/>
    </w:r>
    <w:r>
      <w:rPr>
        <w:rStyle w:val="afa"/>
      </w:rPr>
      <w:instrText xml:space="preserve">PAGE  </w:instrText>
    </w:r>
    <w:r>
      <w:rPr>
        <w:rStyle w:val="afa"/>
      </w:rPr>
      <w:fldChar w:fldCharType="end"/>
    </w:r>
  </w:p>
  <w:p w14:paraId="642D8B85" w14:textId="77777777" w:rsidR="00ED6EAD" w:rsidRDefault="00ED6EAD">
    <w:pPr>
      <w:pStyle w:val="af"/>
    </w:pPr>
  </w:p>
  <w:p w14:paraId="424E5671" w14:textId="77777777" w:rsidR="00ED6EAD" w:rsidRDefault="00ED6EAD"/>
  <w:p w14:paraId="525700D2" w14:textId="77777777" w:rsidR="00ED6EAD" w:rsidRDefault="00ED6EA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7F8A3719" w:rsidR="00ED6EAD" w:rsidRDefault="00ED6EAD">
    <w:pPr>
      <w:pStyle w:val="af"/>
      <w:rPr>
        <w:rStyle w:val="afa"/>
      </w:rPr>
    </w:pPr>
    <w:r>
      <w:rPr>
        <w:rStyle w:val="afa"/>
      </w:rPr>
      <w:fldChar w:fldCharType="begin"/>
    </w:r>
    <w:r>
      <w:rPr>
        <w:rStyle w:val="afa"/>
      </w:rPr>
      <w:instrText xml:space="preserve">PAGE  </w:instrText>
    </w:r>
    <w:r>
      <w:rPr>
        <w:rStyle w:val="afa"/>
      </w:rPr>
      <w:fldChar w:fldCharType="separate"/>
    </w:r>
    <w:r w:rsidR="00145F99">
      <w:rPr>
        <w:rStyle w:val="afa"/>
        <w:noProof/>
      </w:rPr>
      <w:t>54</w:t>
    </w:r>
    <w:r>
      <w:rPr>
        <w:rStyle w:val="afa"/>
      </w:rPr>
      <w:fldChar w:fldCharType="end"/>
    </w:r>
  </w:p>
  <w:p w14:paraId="42091DA1" w14:textId="77777777" w:rsidR="00ED6EAD" w:rsidRDefault="00ED6EAD">
    <w:pPr>
      <w:pStyle w:val="af"/>
    </w:pPr>
  </w:p>
  <w:p w14:paraId="72C28606" w14:textId="77777777" w:rsidR="00ED6EAD" w:rsidRDefault="00ED6EAD"/>
  <w:p w14:paraId="2B9C7A89" w14:textId="77777777" w:rsidR="00ED6EAD" w:rsidRDefault="00ED6E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84E09" w14:textId="77777777" w:rsidR="00205808" w:rsidRDefault="00205808">
      <w:pPr>
        <w:spacing w:after="0"/>
      </w:pPr>
      <w:r>
        <w:separator/>
      </w:r>
    </w:p>
  </w:footnote>
  <w:footnote w:type="continuationSeparator" w:id="0">
    <w:p w14:paraId="32A40E55" w14:textId="77777777" w:rsidR="00205808" w:rsidRDefault="002058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6"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5"/>
  </w:num>
  <w:num w:numId="3">
    <w:abstractNumId w:val="6"/>
  </w:num>
  <w:num w:numId="4">
    <w:abstractNumId w:val="23"/>
  </w:num>
  <w:num w:numId="5">
    <w:abstractNumId w:val="5"/>
  </w:num>
  <w:num w:numId="6">
    <w:abstractNumId w:val="12"/>
  </w:num>
  <w:num w:numId="7">
    <w:abstractNumId w:val="8"/>
  </w:num>
  <w:num w:numId="8">
    <w:abstractNumId w:val="13"/>
  </w:num>
  <w:num w:numId="9">
    <w:abstractNumId w:val="14"/>
  </w:num>
  <w:num w:numId="10">
    <w:abstractNumId w:val="10"/>
  </w:num>
  <w:num w:numId="11">
    <w:abstractNumId w:val="17"/>
  </w:num>
  <w:num w:numId="12">
    <w:abstractNumId w:val="0"/>
  </w:num>
  <w:num w:numId="13">
    <w:abstractNumId w:val="1"/>
  </w:num>
  <w:num w:numId="14">
    <w:abstractNumId w:val="21"/>
  </w:num>
  <w:num w:numId="15">
    <w:abstractNumId w:val="24"/>
  </w:num>
  <w:num w:numId="16">
    <w:abstractNumId w:val="22"/>
  </w:num>
  <w:num w:numId="17">
    <w:abstractNumId w:val="20"/>
  </w:num>
  <w:num w:numId="18">
    <w:abstractNumId w:val="18"/>
  </w:num>
  <w:num w:numId="19">
    <w:abstractNumId w:val="26"/>
  </w:num>
  <w:num w:numId="20">
    <w:abstractNumId w:val="3"/>
  </w:num>
  <w:num w:numId="21">
    <w:abstractNumId w:val="19"/>
  </w:num>
  <w:num w:numId="22">
    <w:abstractNumId w:val="16"/>
  </w:num>
  <w:num w:numId="23">
    <w:abstractNumId w:val="15"/>
  </w:num>
  <w:num w:numId="24">
    <w:abstractNumId w:val="2"/>
  </w:num>
  <w:num w:numId="25">
    <w:abstractNumId w:val="7"/>
  </w:num>
  <w:num w:numId="26">
    <w:abstractNumId w:val="4"/>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列表段落,¥¡¡¡¡ì¬º¥¹¥È¶ÎÂä,ÁÐ³ö¶ÎÂä,¥ê¥¹¥È¶ÎÂä,1st level - Bullet List Paragraph,Lettre d'introduction,Paragrafo elenco,Normal bullet 2,Bullet list,목록단락,リスト段落,列"/>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出段落 字符"/>
    <w:aliases w:val="- Bullets 字符,목록 단락 字符,Lista1 字符,?? ?? 字符,????? 字符,???? 字符,列出段落1 字符,中等深浅网格 1 - 着色 21 字符,列表段落1 字符,—ño’i—Ž 字符,列表段落 字符,¥¡¡¡¡ì¬º¥¹¥È¶ÎÂä 字符,ÁÐ³ö¶ÎÂä 字符,¥ê¥¹¥È¶ÎÂä 字符,1st level - Bullet List Paragraph 字符,Lettre d'introduction 字符,Paragrafo elenco 字符"/>
    <w:link w:val="a"/>
    <w:uiPriority w:val="34"/>
    <w:qFormat/>
    <w:rPr>
      <w:rFonts w:eastAsia="Gulim"/>
      <w:snapToGrid w:val="0"/>
      <w:szCs w:val="22"/>
      <w:lang w:val="en-GB" w:eastAsia="ko-KR"/>
    </w:rPr>
  </w:style>
  <w:style w:type="character" w:styleId="aff1">
    <w:name w:val="Placeholder Text"/>
    <w:basedOn w:val="a2"/>
    <w:uiPriority w:val="99"/>
    <w:semiHidden/>
    <w:rPr>
      <w:color w:val="808080"/>
    </w:rPr>
  </w:style>
  <w:style w:type="character" w:customStyle="1" w:styleId="30">
    <w:name w:val="标题 3 字符"/>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F54504C-89D2-4E49-8B8F-28F3150A7E08}">
  <ds:schemaRefs>
    <ds:schemaRef ds:uri="http://schemas.openxmlformats.org/officeDocument/2006/bibliography"/>
  </ds:schemaRefs>
</ds:datastoreItem>
</file>

<file path=customXml/itemProps7.xml><?xml version="1.0" encoding="utf-8"?>
<ds:datastoreItem xmlns:ds="http://schemas.openxmlformats.org/officeDocument/2006/customXml" ds:itemID="{11180EE2-D3AB-46DF-949D-AEAB791D8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25137</Words>
  <Characters>143286</Characters>
  <Application>Microsoft Office Word</Application>
  <DocSecurity>0</DocSecurity>
  <Lines>1194</Lines>
  <Paragraphs>336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168087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沈兴亚 (Shia Shen)</cp:lastModifiedBy>
  <cp:revision>2</cp:revision>
  <cp:lastPrinted>2019-01-10T09:30:00Z</cp:lastPrinted>
  <dcterms:created xsi:type="dcterms:W3CDTF">2021-01-27T16:17:00Z</dcterms:created>
  <dcterms:modified xsi:type="dcterms:W3CDTF">2021-01-27T16:17:00Z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