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r>
              <w:rPr>
                <w:lang w:val="en-GB" w:eastAsia="zh-CN"/>
              </w:rPr>
              <w:lastRenderedPageBreak/>
              <w:t>Spreadtrum</w:t>
            </w:r>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Huawei, HiSilicon</w:t>
            </w:r>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r w:rsidR="00C35F8E">
              <w:rPr>
                <w:i/>
                <w:iCs/>
              </w:rPr>
              <w:t>pdcch-Monitoring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lang w:val="en-GB" w:eastAsia="zh-CN"/>
              </w:rPr>
            </w:pPr>
            <w:r>
              <w:rPr>
                <w:lang w:val="en-GB" w:eastAsia="zh-CN"/>
              </w:rPr>
              <w:t>InterDigital</w:t>
            </w:r>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7C1F879D" w14:textId="77777777" w:rsidR="00BD6625" w:rsidRDefault="00BD6625" w:rsidP="00BD6625">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ListParagraph"/>
              <w:numPr>
                <w:ilvl w:val="0"/>
                <w:numId w:val="17"/>
              </w:numPr>
              <w:rPr>
                <w:rFonts w:ascii="Times New Roman" w:hAnsi="Times New Roman"/>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r w:rsidR="00F0196D" w:rsidRPr="007B0465" w14:paraId="61A9C38C" w14:textId="77777777" w:rsidTr="00F0196D">
        <w:tc>
          <w:tcPr>
            <w:tcW w:w="2405" w:type="dxa"/>
          </w:tcPr>
          <w:p w14:paraId="43744786" w14:textId="77777777" w:rsidR="00F0196D" w:rsidRPr="007B0465" w:rsidRDefault="00F0196D" w:rsidP="00F0196D">
            <w:pPr>
              <w:rPr>
                <w:lang w:eastAsia="zh"/>
              </w:rPr>
            </w:pPr>
            <w:r w:rsidRPr="007B0465">
              <w:rPr>
                <w:lang w:eastAsia="zh"/>
              </w:rPr>
              <w:t>LG Electronics</w:t>
            </w:r>
          </w:p>
        </w:tc>
        <w:tc>
          <w:tcPr>
            <w:tcW w:w="12176" w:type="dxa"/>
          </w:tcPr>
          <w:p w14:paraId="5EE8ABA8" w14:textId="77777777" w:rsidR="00F0196D" w:rsidRPr="007B0465" w:rsidRDefault="00F0196D" w:rsidP="00F0196D">
            <w:pPr>
              <w:rPr>
                <w:rFonts w:eastAsia="Malgun Gothic"/>
                <w:lang w:eastAsia="ko-KR"/>
              </w:rPr>
            </w:pPr>
            <w:r w:rsidRPr="007B0465">
              <w:rPr>
                <w:rFonts w:eastAsia="Malgun Gothic" w:hint="eastAsia"/>
                <w:lang w:eastAsia="ko-KR"/>
              </w:rPr>
              <w:t xml:space="preserve">We prefer </w:t>
            </w:r>
            <w:r w:rsidRPr="007B0465">
              <w:rPr>
                <w:rFonts w:eastAsia="Malgun Gothic"/>
                <w:lang w:eastAsia="ko-KR"/>
              </w:rPr>
              <w:t>MSM-1-1 with N=1 as starting point and open to discuss for MSM-1-2.</w:t>
            </w:r>
          </w:p>
          <w:p w14:paraId="1F0E2CEA" w14:textId="77777777" w:rsidR="00F0196D" w:rsidRPr="007B0465" w:rsidRDefault="00F0196D" w:rsidP="00F0196D">
            <w:pPr>
              <w:rPr>
                <w:rFonts w:eastAsia="Malgun Gothic"/>
                <w:lang w:eastAsia="ko-KR"/>
              </w:rPr>
            </w:pPr>
            <w:r w:rsidRPr="007B0465">
              <w:rPr>
                <w:rFonts w:eastAsia="Malgun Gothic"/>
                <w:lang w:eastAsia="ko-KR"/>
              </w:rPr>
              <w:t>We also think that Case 1-1 can be sufficient to define the PDCCH MO within a slot.</w:t>
            </w:r>
          </w:p>
          <w:p w14:paraId="7DDDE186" w14:textId="77777777" w:rsidR="00F0196D" w:rsidRPr="007B0465" w:rsidRDefault="00F0196D" w:rsidP="00F0196D">
            <w:pPr>
              <w:rPr>
                <w:rFonts w:eastAsia="Malgun Gothic"/>
                <w:lang w:eastAsia="ko-KR"/>
              </w:rPr>
            </w:pPr>
            <w:r w:rsidRPr="007B0465">
              <w:rPr>
                <w:rFonts w:eastAsia="Malgun Gothic"/>
                <w:lang w:eastAsia="ko-KR"/>
              </w:rPr>
              <w:lastRenderedPageBreak/>
              <w:t xml:space="preserve">We are agree with Qualcomm and vivo that this proposal should be discussed together with each alternative in A1-2d. </w:t>
            </w:r>
          </w:p>
          <w:p w14:paraId="4421CDB0" w14:textId="77777777" w:rsidR="00F0196D" w:rsidRPr="007B0465" w:rsidRDefault="00F0196D" w:rsidP="00F0196D">
            <w:pPr>
              <w:rPr>
                <w:rFonts w:eastAsia="Malgun Gothic"/>
                <w:lang w:eastAsia="ko-KR"/>
              </w:rPr>
            </w:pPr>
            <w:r w:rsidRPr="007B0465">
              <w:rPr>
                <w:rFonts w:eastAsia="Malgun Gothic"/>
                <w:lang w:eastAsia="ko-KR"/>
              </w:rPr>
              <w:t>We are supportive of vivo’s clarification for each alternative.</w:t>
            </w:r>
          </w:p>
          <w:p w14:paraId="5FDCA417" w14:textId="65547462" w:rsidR="00F0196D" w:rsidRPr="007B0465" w:rsidRDefault="00F0196D" w:rsidP="00F0196D">
            <w:pPr>
              <w:rPr>
                <w:rFonts w:eastAsia="Malgun Gothic"/>
                <w:lang w:eastAsia="ko-KR"/>
              </w:rPr>
            </w:pPr>
            <w:r w:rsidRPr="007B0465">
              <w:rPr>
                <w:rFonts w:eastAsia="Malgun Gothic"/>
                <w:lang w:eastAsia="ko-KR"/>
              </w:rPr>
              <w:t xml:space="preserve">In addition, </w:t>
            </w:r>
            <w:r>
              <w:rPr>
                <w:rFonts w:eastAsia="Malgun Gothic"/>
                <w:lang w:eastAsia="ko-KR"/>
              </w:rPr>
              <w:t>we think that the proposal for C</w:t>
            </w:r>
            <w:r w:rsidRPr="007B0465">
              <w:rPr>
                <w:rFonts w:eastAsia="Malgun Gothic"/>
                <w:lang w:eastAsia="ko-KR"/>
              </w:rPr>
              <w:t>ase MSM-1 seems to need to be reworded as follows.</w:t>
            </w:r>
          </w:p>
          <w:p w14:paraId="2E8FE750" w14:textId="77777777" w:rsidR="00F0196D" w:rsidRPr="007B0465" w:rsidRDefault="00F0196D" w:rsidP="00F0196D">
            <w:pPr>
              <w:pStyle w:val="ListParagraph"/>
              <w:numPr>
                <w:ilvl w:val="0"/>
                <w:numId w:val="50"/>
              </w:numPr>
              <w:rPr>
                <w:sz w:val="20"/>
                <w:szCs w:val="20"/>
              </w:rPr>
            </w:pPr>
            <w:r w:rsidRPr="007B0465">
              <w:rPr>
                <w:sz w:val="20"/>
                <w:szCs w:val="20"/>
              </w:rPr>
              <w:t xml:space="preserve">Case MSM-1: PDCCH monitoring of all SS sets monitored in a span occurs within N consecutive slots that have fixed positions </w:t>
            </w:r>
            <w:r w:rsidRPr="007B0465">
              <w:rPr>
                <w:sz w:val="20"/>
                <w:szCs w:val="20"/>
                <w:highlight w:val="yellow"/>
              </w:rPr>
              <w:t>in each span</w:t>
            </w:r>
          </w:p>
        </w:tc>
      </w:tr>
      <w:tr w:rsidR="00E44518" w14:paraId="374C8D21" w14:textId="77777777" w:rsidTr="00463DCE">
        <w:tc>
          <w:tcPr>
            <w:tcW w:w="2405" w:type="dxa"/>
          </w:tcPr>
          <w:p w14:paraId="005600A2" w14:textId="77777777" w:rsidR="00E44518" w:rsidRDefault="00E44518" w:rsidP="00463DCE">
            <w:pPr>
              <w:rPr>
                <w:lang w:val="en-GB" w:eastAsia="zh-CN"/>
              </w:rPr>
            </w:pPr>
            <w:r>
              <w:rPr>
                <w:lang w:val="en-GB" w:eastAsia="zh-CN"/>
              </w:rPr>
              <w:lastRenderedPageBreak/>
              <w:t>Futurewei</w:t>
            </w:r>
          </w:p>
        </w:tc>
        <w:tc>
          <w:tcPr>
            <w:tcW w:w="12176" w:type="dxa"/>
          </w:tcPr>
          <w:p w14:paraId="7E6301E4" w14:textId="77777777" w:rsidR="00E44518" w:rsidRDefault="00E44518" w:rsidP="00463DCE">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463DCE" w14:paraId="534BF276" w14:textId="77777777" w:rsidTr="00463DCE">
        <w:tc>
          <w:tcPr>
            <w:tcW w:w="2405" w:type="dxa"/>
          </w:tcPr>
          <w:p w14:paraId="665E24BD" w14:textId="23A189C9" w:rsidR="00463DCE" w:rsidRDefault="00463DCE" w:rsidP="00463DCE">
            <w:pPr>
              <w:rPr>
                <w:lang w:val="en-GB" w:eastAsia="zh-CN"/>
              </w:rPr>
            </w:pPr>
            <w:r>
              <w:rPr>
                <w:lang w:val="en-GB" w:eastAsia="zh-CN"/>
              </w:rPr>
              <w:t>MediaTek</w:t>
            </w:r>
          </w:p>
        </w:tc>
        <w:tc>
          <w:tcPr>
            <w:tcW w:w="12176" w:type="dxa"/>
          </w:tcPr>
          <w:p w14:paraId="724FA412" w14:textId="77777777" w:rsidR="00463DCE" w:rsidRDefault="00463DCE" w:rsidP="00463DCE">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44B44871" w14:textId="75567C0B" w:rsidR="00463DCE" w:rsidRDefault="00463DCE" w:rsidP="00EC18F7">
            <w:pPr>
              <w:rPr>
                <w:lang w:eastAsia="zh-CN"/>
              </w:rPr>
            </w:pPr>
            <w:r>
              <w:rPr>
                <w:lang w:eastAsia="zh-CN"/>
              </w:rPr>
              <w:t xml:space="preserve">If our understanding on the meaning of ‘N’ in this proposal is correct, then this proposal </w:t>
            </w:r>
            <w:r w:rsidR="00EC18F7">
              <w:rPr>
                <w:lang w:eastAsia="zh-CN"/>
              </w:rPr>
              <w:t>is specifying the slots to monitor within a fix multi-slot pattern, which is Alt-1 in the A1-2d agreement. W</w:t>
            </w:r>
            <w:r>
              <w:rPr>
                <w:lang w:eastAsia="zh-CN"/>
              </w:rPr>
              <w:t xml:space="preserve">e prefer to support case MSM-1-1 as a starting point and FFS on MSM-1-2 since MSM-1-2 might have burst slots for PDCCH monitoring in consecutive </w:t>
            </w:r>
            <w:r w:rsidR="00EC18F7">
              <w:rPr>
                <w:lang w:eastAsia="zh-CN"/>
              </w:rPr>
              <w:t>multi-slots.</w:t>
            </w:r>
            <w:r>
              <w:rPr>
                <w:lang w:eastAsia="zh-CN"/>
              </w:rPr>
              <w:t xml:space="preserve">  </w:t>
            </w:r>
          </w:p>
        </w:tc>
      </w:tr>
      <w:tr w:rsidR="009A0F97" w14:paraId="714B0067" w14:textId="77777777" w:rsidTr="00463DCE">
        <w:tc>
          <w:tcPr>
            <w:tcW w:w="2405" w:type="dxa"/>
          </w:tcPr>
          <w:p w14:paraId="0715C822" w14:textId="04474368" w:rsidR="009A0F97" w:rsidRDefault="009A0F97" w:rsidP="00463DCE">
            <w:pPr>
              <w:rPr>
                <w:lang w:val="en-GB" w:eastAsia="zh-CN"/>
              </w:rPr>
            </w:pPr>
            <w:r>
              <w:rPr>
                <w:lang w:val="en-GB" w:eastAsia="zh-CN"/>
              </w:rPr>
              <w:t>Samsung</w:t>
            </w:r>
          </w:p>
        </w:tc>
        <w:tc>
          <w:tcPr>
            <w:tcW w:w="12176" w:type="dxa"/>
          </w:tcPr>
          <w:p w14:paraId="10A90474" w14:textId="77777777" w:rsidR="00C6714F" w:rsidRDefault="009A0F97" w:rsidP="00C6714F">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sidR="00C6714F">
              <w:rPr>
                <w:lang w:eastAsia="zh-CN"/>
              </w:rPr>
              <w:br/>
            </w:r>
          </w:p>
          <w:p w14:paraId="69AB7240" w14:textId="067F3C4D" w:rsidR="009A0F97" w:rsidRDefault="00C6714F" w:rsidP="00C6714F">
            <w:pPr>
              <w:rPr>
                <w:lang w:eastAsia="zh-CN"/>
              </w:rPr>
            </w:pPr>
            <w:r>
              <w:rPr>
                <w:lang w:eastAsia="zh-CN"/>
              </w:rPr>
              <w:t xml:space="preserve">Also, the wording </w:t>
            </w:r>
            <w:r>
              <w:rPr>
                <w:lang w:eastAsia="zh-CN"/>
              </w:rPr>
              <w:t>“within N consecutive slots that have fixed positions in each slot” is not clear</w:t>
            </w:r>
            <w:r>
              <w:rPr>
                <w:lang w:eastAsia="zh-CN"/>
              </w:rPr>
              <w:t xml:space="preserve"> to us, since </w:t>
            </w:r>
            <w:r>
              <w:rPr>
                <w:lang w:eastAsia="zh-CN"/>
              </w:rPr>
              <w:t xml:space="preserve">a monitoring span should be </w:t>
            </w:r>
            <w:r>
              <w:rPr>
                <w:lang w:eastAsia="zh-CN"/>
              </w:rPr>
              <w:t>symbols/</w:t>
            </w:r>
            <w:r>
              <w:rPr>
                <w:lang w:eastAsia="zh-CN"/>
              </w:rPr>
              <w:t>slots with PDCCH MOs configured.</w:t>
            </w:r>
          </w:p>
        </w:tc>
      </w:tr>
    </w:tbl>
    <w:p w14:paraId="11455D50" w14:textId="5B62E1C6" w:rsidR="00526256" w:rsidRPr="00F0196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lastRenderedPageBreak/>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lastRenderedPageBreak/>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lastRenderedPageBreak/>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r>
              <w:rPr>
                <w:lang w:val="en-GB" w:eastAsia="zh-CN"/>
              </w:rPr>
              <w:t>Spreadtrum</w:t>
            </w:r>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lang w:val="en-GB" w:eastAsia="zh-CN"/>
              </w:rPr>
            </w:pPr>
            <w:r>
              <w:rPr>
                <w:lang w:val="en-GB" w:eastAsia="zh-CN"/>
              </w:rPr>
              <w:t>InterDigital</w:t>
            </w:r>
          </w:p>
        </w:tc>
        <w:tc>
          <w:tcPr>
            <w:tcW w:w="12176" w:type="dxa"/>
          </w:tcPr>
          <w:p w14:paraId="11A165A2" w14:textId="0524F03E" w:rsidR="00525909" w:rsidRDefault="00525909" w:rsidP="00AF694C">
            <w:pPr>
              <w:rPr>
                <w:lang w:eastAsia="zh-CN"/>
              </w:rPr>
            </w:pPr>
            <w:r>
              <w:rPr>
                <w:lang w:eastAsia="zh-CN"/>
              </w:rPr>
              <w:t xml:space="preserve">We don’t see the need. </w:t>
            </w:r>
          </w:p>
        </w:tc>
      </w:tr>
      <w:tr w:rsidR="00F0196D" w:rsidRPr="007B0465" w14:paraId="2059C3A5" w14:textId="77777777" w:rsidTr="00F0196D">
        <w:tc>
          <w:tcPr>
            <w:tcW w:w="2405" w:type="dxa"/>
          </w:tcPr>
          <w:p w14:paraId="6A135F24" w14:textId="77777777" w:rsidR="00F0196D" w:rsidRPr="007B0465" w:rsidRDefault="00F0196D" w:rsidP="00F0196D">
            <w:pPr>
              <w:rPr>
                <w:lang w:eastAsia="zh"/>
              </w:rPr>
            </w:pPr>
            <w:r w:rsidRPr="007B0465">
              <w:rPr>
                <w:lang w:eastAsia="zh"/>
              </w:rPr>
              <w:t>LG Electronics</w:t>
            </w:r>
          </w:p>
        </w:tc>
        <w:tc>
          <w:tcPr>
            <w:tcW w:w="12176" w:type="dxa"/>
          </w:tcPr>
          <w:p w14:paraId="0435D5DA" w14:textId="7BB3E7BA" w:rsidR="00F0196D" w:rsidRPr="007B0465" w:rsidRDefault="00F0196D" w:rsidP="00F0196D">
            <w:pPr>
              <w:rPr>
                <w:lang w:eastAsia="zh-CN"/>
              </w:rPr>
            </w:pPr>
            <w:r w:rsidRPr="007B0465">
              <w:rPr>
                <w:lang w:eastAsia="zh-CN"/>
              </w:rPr>
              <w:t xml:space="preserve">Same view with Qualcomm that </w:t>
            </w:r>
            <w:r w:rsidR="00057DC3" w:rsidRPr="00057DC3">
              <w:rPr>
                <w:lang w:eastAsia="zh-CN"/>
              </w:rPr>
              <w:t>A1-2b.2</w:t>
            </w:r>
            <w:r w:rsidR="00057DC3">
              <w:rPr>
                <w:lang w:eastAsia="zh-CN"/>
              </w:rPr>
              <w:t xml:space="preserve"> </w:t>
            </w:r>
            <w:r w:rsidRPr="007B0465">
              <w:rPr>
                <w:lang w:eastAsia="zh-CN"/>
              </w:rPr>
              <w:t xml:space="preserve">is not </w:t>
            </w:r>
            <w:r>
              <w:rPr>
                <w:lang w:eastAsia="zh-CN"/>
              </w:rPr>
              <w:t>about</w:t>
            </w:r>
            <w:r w:rsidRPr="007B0465">
              <w:rPr>
                <w:lang w:eastAsia="zh-CN"/>
              </w:rPr>
              <w:t xml:space="preserve"> CORESET duration. We also think that 3 OFDM symbols per slot are sufficient, but open to discuss for more than 3 symbols.</w:t>
            </w:r>
          </w:p>
        </w:tc>
      </w:tr>
      <w:tr w:rsidR="00E44518" w:rsidRPr="007B0465" w14:paraId="08009ACC" w14:textId="77777777" w:rsidTr="00F0196D">
        <w:tc>
          <w:tcPr>
            <w:tcW w:w="2405" w:type="dxa"/>
          </w:tcPr>
          <w:p w14:paraId="7AF7E843" w14:textId="4A8490BF" w:rsidR="00E44518" w:rsidRPr="007B0465" w:rsidRDefault="00E44518" w:rsidP="00E44518">
            <w:pPr>
              <w:rPr>
                <w:lang w:eastAsia="zh"/>
              </w:rPr>
            </w:pPr>
            <w:r>
              <w:rPr>
                <w:lang w:val="en-GB" w:eastAsia="zh-CN"/>
              </w:rPr>
              <w:t>Futurewei</w:t>
            </w:r>
          </w:p>
        </w:tc>
        <w:tc>
          <w:tcPr>
            <w:tcW w:w="12176" w:type="dxa"/>
          </w:tcPr>
          <w:p w14:paraId="13964C7A" w14:textId="5AB1D86F" w:rsidR="00E44518" w:rsidRPr="007B0465" w:rsidRDefault="00E44518" w:rsidP="00E44518">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9A0F97" w:rsidRPr="007B0465" w14:paraId="6C6846B0" w14:textId="77777777" w:rsidTr="00F0196D">
        <w:tc>
          <w:tcPr>
            <w:tcW w:w="2405" w:type="dxa"/>
          </w:tcPr>
          <w:p w14:paraId="722175B0" w14:textId="2071BA9C" w:rsidR="009A0F97" w:rsidRDefault="009A0F97" w:rsidP="00E44518">
            <w:pPr>
              <w:rPr>
                <w:lang w:val="en-GB" w:eastAsia="zh-CN"/>
              </w:rPr>
            </w:pPr>
            <w:r>
              <w:rPr>
                <w:lang w:val="en-GB" w:eastAsia="zh-CN"/>
              </w:rPr>
              <w:t>Samsung</w:t>
            </w:r>
          </w:p>
        </w:tc>
        <w:tc>
          <w:tcPr>
            <w:tcW w:w="12176" w:type="dxa"/>
          </w:tcPr>
          <w:p w14:paraId="06A41BEB" w14:textId="77777777" w:rsidR="009A0F97" w:rsidRDefault="009A0F97" w:rsidP="00E44518">
            <w:pPr>
              <w:rPr>
                <w:lang w:eastAsia="zh-CN"/>
              </w:rPr>
            </w:pPr>
            <w:r>
              <w:rPr>
                <w:lang w:eastAsia="zh-CN"/>
              </w:rPr>
              <w:t xml:space="preserve">For Alt 1-2 and Alt 3 of proposal A1-2d, it’s straightforward the duration of span can exceed 3 symbols. </w:t>
            </w:r>
          </w:p>
          <w:p w14:paraId="7F8C0DA4" w14:textId="77777777" w:rsidR="009A0F97" w:rsidRDefault="009A0F97" w:rsidP="009A0F97">
            <w:pPr>
              <w:rPr>
                <w:lang w:eastAsia="zh-CN"/>
              </w:rPr>
            </w:pPr>
            <w:r>
              <w:rPr>
                <w:lang w:eastAsia="zh-CN"/>
              </w:rPr>
              <w:t xml:space="preserve">For Alt 1-1 and Alt 2 of proposal A1-2d, we also see the benefit to support the duration of span to be more than 3 symbols for network’s flexibility. </w:t>
            </w:r>
          </w:p>
          <w:p w14:paraId="08ACE8B6" w14:textId="4163C83F" w:rsidR="009A0F97" w:rsidRDefault="009A0F97" w:rsidP="009A0F97">
            <w:pPr>
              <w:rPr>
                <w:lang w:eastAsia="zh-CN"/>
              </w:rPr>
            </w:pPr>
            <w:r>
              <w:rPr>
                <w:lang w:eastAsia="zh-CN"/>
              </w:rPr>
              <w:t xml:space="preserve">We also agree that there is no need to support more than 3 symbols for the duration of  CORESET. </w:t>
            </w:r>
          </w:p>
        </w:tc>
      </w:tr>
    </w:tbl>
    <w:p w14:paraId="2E79DDB5" w14:textId="77777777" w:rsidR="00526256" w:rsidRPr="00F0196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lastRenderedPageBreak/>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lastRenderedPageBreak/>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bookmarkStart w:id="1" w:name="_GoBack"/>
      <w:bookmarkEnd w:id="1"/>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lastRenderedPageBreak/>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r>
              <w:rPr>
                <w:lang w:val="en-GB" w:eastAsia="zh-CN"/>
              </w:rPr>
              <w:t>Spreadtrum</w:t>
            </w:r>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lang w:val="en-GB" w:eastAsia="zh-CN"/>
              </w:rPr>
            </w:pPr>
            <w:r>
              <w:rPr>
                <w:lang w:val="en-GB" w:eastAsia="zh-CN"/>
              </w:rPr>
              <w:t>InterDigital</w:t>
            </w:r>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2" w:author="Young Woo Kwak" w:date="2021-02-01T15:00:00Z">
              <w:r>
                <w:rPr>
                  <w:lang w:eastAsia="zh-CN"/>
                </w:rPr>
                <w:t xml:space="preserve">Support at least </w:t>
              </w:r>
            </w:ins>
            <w:del w:id="3" w:author="Young Woo Kwak" w:date="2021-02-01T15:00:00Z">
              <w:r w:rsidDel="00525909">
                <w:rPr>
                  <w:lang w:eastAsia="zh-CN"/>
                </w:rPr>
                <w:delText>T</w:delText>
              </w:r>
            </w:del>
            <w:ins w:id="4" w:author="Young Woo Kwak" w:date="2021-02-01T15:00:00Z">
              <w:r>
                <w:rPr>
                  <w:lang w:eastAsia="zh-CN"/>
                </w:rPr>
                <w:t>t</w:t>
              </w:r>
            </w:ins>
            <w:r>
              <w:rPr>
                <w:lang w:eastAsia="zh-CN"/>
              </w:rPr>
              <w:t xml:space="preserve">he </w:t>
            </w:r>
            <w:ins w:id="5" w:author="Young Woo Kwak" w:date="2021-02-01T15:00:00Z">
              <w:r>
                <w:rPr>
                  <w:lang w:eastAsia="zh-CN"/>
                </w:rPr>
                <w:t xml:space="preserve">following </w:t>
              </w:r>
            </w:ins>
            <w:r>
              <w:rPr>
                <w:lang w:eastAsia="zh-CN"/>
              </w:rPr>
              <w:t>duration of a multi-slot monitoring</w:t>
            </w:r>
            <w:del w:id="6" w:author="Young Woo Kwak" w:date="2021-02-01T15:00:00Z">
              <w:r w:rsidDel="00525909">
                <w:rPr>
                  <w:lang w:eastAsia="zh-CN"/>
                </w:rPr>
                <w:delText xml:space="preserve"> span</w:delText>
              </w:r>
            </w:del>
            <w:del w:id="7"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ListParagraph"/>
              <w:numPr>
                <w:ilvl w:val="0"/>
                <w:numId w:val="20"/>
              </w:numPr>
              <w:rPr>
                <w:lang w:eastAsia="zh-CN"/>
              </w:rPr>
            </w:pPr>
            <w:r>
              <w:rPr>
                <w:lang w:eastAsia="zh-CN"/>
              </w:rPr>
              <w:t>For 480 kHz: 4 slots, for 960 kHz: 8 slots.</w:t>
            </w:r>
          </w:p>
          <w:p w14:paraId="2CD1B18C" w14:textId="77777777" w:rsidR="00525909" w:rsidRDefault="00525909" w:rsidP="00525909">
            <w:pPr>
              <w:pStyle w:val="ListParagraph"/>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r w:rsidR="00F0196D" w:rsidRPr="007B0465" w14:paraId="1FB4A750" w14:textId="77777777" w:rsidTr="00F0196D">
        <w:tc>
          <w:tcPr>
            <w:tcW w:w="2405" w:type="dxa"/>
          </w:tcPr>
          <w:p w14:paraId="29489148" w14:textId="77777777" w:rsidR="00F0196D" w:rsidRPr="007B0465" w:rsidRDefault="00F0196D" w:rsidP="00F0196D">
            <w:pPr>
              <w:rPr>
                <w:lang w:eastAsia="zh"/>
              </w:rPr>
            </w:pPr>
            <w:r w:rsidRPr="007B0465">
              <w:rPr>
                <w:lang w:eastAsia="zh"/>
              </w:rPr>
              <w:t>LG Electronics</w:t>
            </w:r>
          </w:p>
        </w:tc>
        <w:tc>
          <w:tcPr>
            <w:tcW w:w="12176" w:type="dxa"/>
          </w:tcPr>
          <w:p w14:paraId="5FFA484D" w14:textId="3DE7DC19" w:rsidR="00F0196D" w:rsidRPr="007B0465" w:rsidRDefault="00F0196D" w:rsidP="00F0196D">
            <w:pPr>
              <w:rPr>
                <w:lang w:eastAsia="zh-CN"/>
              </w:rPr>
            </w:pPr>
            <w:r>
              <w:rPr>
                <w:lang w:eastAsia="zh-CN"/>
              </w:rPr>
              <w:t>We support the M</w:t>
            </w:r>
            <w:r w:rsidRPr="007B0465">
              <w:rPr>
                <w:lang w:eastAsia="zh-CN"/>
              </w:rPr>
              <w:t>oderator’s proposal</w:t>
            </w:r>
            <w:r>
              <w:rPr>
                <w:lang w:eastAsia="zh-CN"/>
              </w:rPr>
              <w:t>.</w:t>
            </w:r>
          </w:p>
        </w:tc>
      </w:tr>
      <w:tr w:rsidR="009A0F97" w:rsidRPr="007B0465" w14:paraId="0C68B449" w14:textId="77777777" w:rsidTr="00F0196D">
        <w:tc>
          <w:tcPr>
            <w:tcW w:w="2405" w:type="dxa"/>
          </w:tcPr>
          <w:p w14:paraId="2CF8A179" w14:textId="3F94993D" w:rsidR="009A0F97" w:rsidRPr="007B0465" w:rsidRDefault="009A0F97" w:rsidP="00F0196D">
            <w:pPr>
              <w:rPr>
                <w:lang w:eastAsia="zh"/>
              </w:rPr>
            </w:pPr>
            <w:r>
              <w:rPr>
                <w:lang w:eastAsia="zh"/>
              </w:rPr>
              <w:t>Samsung</w:t>
            </w:r>
          </w:p>
        </w:tc>
        <w:tc>
          <w:tcPr>
            <w:tcW w:w="12176" w:type="dxa"/>
          </w:tcPr>
          <w:p w14:paraId="59577D24" w14:textId="6E76EDA1" w:rsidR="009A0F97" w:rsidRDefault="009A0F97" w:rsidP="00F0196D">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w:t>
            </w:r>
            <w:r w:rsidR="00F26058" w:rsidRPr="00F26058">
              <w:rPr>
                <w:lang w:eastAsia="zh-CN"/>
              </w:rPr>
              <w:t xml:space="preserve">multi-slot monitoring </w:t>
            </w:r>
            <w:r>
              <w:rPr>
                <w:lang w:eastAsia="zh-CN"/>
              </w:rPr>
              <w:t>span”</w:t>
            </w:r>
            <w:r w:rsidR="00F26058">
              <w:rPr>
                <w:lang w:eastAsia="zh-CN"/>
              </w:rPr>
              <w:t xml:space="preserve"> (e.g. Y in Alt of proposal A1-2d) as described in the proposal, then we don’t agree with the proposal since we didn’t see a need to support such a large value of span duration to increase UE complexity. </w:t>
            </w:r>
            <w:r>
              <w:rPr>
                <w:lang w:eastAsia="zh-CN"/>
              </w:rPr>
              <w:t xml:space="preserve"> </w:t>
            </w:r>
          </w:p>
        </w:tc>
      </w:tr>
    </w:tbl>
    <w:p w14:paraId="2FA2C94D" w14:textId="77777777" w:rsidR="00526256" w:rsidRPr="00F0196D"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lastRenderedPageBreak/>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lastRenderedPageBreak/>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lang w:eastAsia="zh"/>
              </w:rPr>
            </w:pPr>
            <w:r>
              <w:rPr>
                <w:lang w:eastAsia="zh"/>
              </w:rPr>
              <w:t>InterDigital</w:t>
            </w:r>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lang w:eastAsia="zh-CN"/>
              </w:rPr>
            </w:pPr>
            <w:r>
              <w:rPr>
                <w:lang w:eastAsia="zh-CN"/>
              </w:rPr>
              <w:t>For 960kHz, 1 slot, [2 slots] and 4 slots can be supported based on UE capability.</w:t>
            </w:r>
          </w:p>
        </w:tc>
      </w:tr>
      <w:tr w:rsidR="00F0196D" w:rsidRPr="007B0465" w14:paraId="6483E982" w14:textId="77777777" w:rsidTr="00F0196D">
        <w:tc>
          <w:tcPr>
            <w:tcW w:w="2405" w:type="dxa"/>
          </w:tcPr>
          <w:p w14:paraId="61E5807A" w14:textId="77777777" w:rsidR="00F0196D" w:rsidRPr="007B0465" w:rsidRDefault="00F0196D" w:rsidP="00F0196D">
            <w:pPr>
              <w:rPr>
                <w:lang w:eastAsia="zh"/>
              </w:rPr>
            </w:pPr>
            <w:r w:rsidRPr="007B0465">
              <w:rPr>
                <w:lang w:eastAsia="zh"/>
              </w:rPr>
              <w:t>LG Electronics</w:t>
            </w:r>
          </w:p>
        </w:tc>
        <w:tc>
          <w:tcPr>
            <w:tcW w:w="12176" w:type="dxa"/>
          </w:tcPr>
          <w:p w14:paraId="3C7EB8CA" w14:textId="15DA845F" w:rsidR="00F0196D" w:rsidRPr="007B0465" w:rsidRDefault="00F0196D" w:rsidP="000C11D9">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w:t>
            </w:r>
            <w:r w:rsidR="000C11D9">
              <w:rPr>
                <w:lang w:eastAsia="zh-CN"/>
              </w:rPr>
              <w:t>n</w:t>
            </w:r>
            <w:r>
              <w:rPr>
                <w:lang w:eastAsia="zh-CN"/>
              </w:rPr>
              <w:t xml:space="preserve"> specific value</w:t>
            </w:r>
            <w:r w:rsidR="000C11D9">
              <w:rPr>
                <w:lang w:eastAsia="zh-CN"/>
              </w:rPr>
              <w:t>s</w:t>
            </w:r>
            <w:r>
              <w:rPr>
                <w:lang w:eastAsia="zh-CN"/>
              </w:rPr>
              <w:t xml:space="preserve"> (or </w:t>
            </w:r>
            <w:r w:rsidR="000C11D9">
              <w:rPr>
                <w:lang w:eastAsia="zh-CN"/>
              </w:rPr>
              <w:t xml:space="preserve">ranges of </w:t>
            </w:r>
            <w:r>
              <w:rPr>
                <w:lang w:eastAsia="zh-CN"/>
              </w:rPr>
              <w:t>value</w:t>
            </w:r>
            <w:r w:rsidR="000C11D9">
              <w:rPr>
                <w:lang w:eastAsia="zh-CN"/>
              </w:rPr>
              <w:t>s</w:t>
            </w:r>
            <w:r>
              <w:rPr>
                <w:lang w:eastAsia="zh-CN"/>
              </w:rPr>
              <w:t>) does not needed at this stage.</w:t>
            </w:r>
          </w:p>
        </w:tc>
      </w:tr>
      <w:tr w:rsidR="00E44518" w:rsidRPr="007B0465" w14:paraId="4C3CFCB6" w14:textId="77777777" w:rsidTr="00F0196D">
        <w:tc>
          <w:tcPr>
            <w:tcW w:w="2405" w:type="dxa"/>
          </w:tcPr>
          <w:p w14:paraId="312D12E5" w14:textId="0DB3DFF0" w:rsidR="00E44518" w:rsidRPr="007B0465" w:rsidRDefault="00E44518" w:rsidP="00E44518">
            <w:pPr>
              <w:rPr>
                <w:lang w:eastAsia="zh"/>
              </w:rPr>
            </w:pPr>
            <w:r>
              <w:rPr>
                <w:lang w:eastAsia="zh"/>
              </w:rPr>
              <w:t>Futurewei</w:t>
            </w:r>
          </w:p>
        </w:tc>
        <w:tc>
          <w:tcPr>
            <w:tcW w:w="12176" w:type="dxa"/>
          </w:tcPr>
          <w:p w14:paraId="293AB4F6" w14:textId="2385A916" w:rsidR="00E44518" w:rsidRDefault="00E44518" w:rsidP="00E44518">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lastRenderedPageBreak/>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pt;mso-width-percent:0;mso-height-percent:0;mso-width-percent:0;mso-height-percent:0" o:ole="">
                  <v:imagedata r:id="rId12" o:title=""/>
                </v:shape>
                <o:OLEObject Type="Embed" ProgID="Visio.Drawing.15" ShapeID="_x0000_i1025" DrawAspect="Content" ObjectID="_1673772856"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w:t>
            </w:r>
            <w:r>
              <w:rPr>
                <w:lang w:eastAsia="zh-CN"/>
              </w:rPr>
              <w:lastRenderedPageBreak/>
              <w:t xml:space="preserve">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lastRenderedPageBreak/>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 xml:space="preserve">*14 symbols (e.g. 56 symbols for 480K, 112 symbols for </w:t>
            </w:r>
            <w:r>
              <w:rPr>
                <w:lang w:eastAsia="zh-CN"/>
              </w:rPr>
              <w:lastRenderedPageBreak/>
              <w:t>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lastRenderedPageBreak/>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lastRenderedPageBreak/>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w:t>
            </w:r>
            <w:r>
              <w:rPr>
                <w:lang w:eastAsia="zh-CN"/>
              </w:rPr>
              <w:lastRenderedPageBreak/>
              <w:t xml:space="preserve">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lastRenderedPageBreak/>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w:t>
            </w:r>
            <w:r>
              <w:rPr>
                <w:lang w:eastAsia="zh-CN"/>
              </w:rPr>
              <w:lastRenderedPageBreak/>
              <w:t xml:space="preserve">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lastRenderedPageBreak/>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w:t>
            </w:r>
            <w:r w:rsidR="000E1826">
              <w:rPr>
                <w:sz w:val="20"/>
                <w:lang w:eastAsia="zh-CN"/>
              </w:rPr>
              <w:lastRenderedPageBreak/>
              <w:t xml:space="preserve">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lastRenderedPageBreak/>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r w:rsidRPr="007C1FEA">
              <w:rPr>
                <w:i/>
                <w:iCs/>
              </w:rPr>
              <w:t>pdcch-Monitoring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4E2908" w14:paraId="575D3928" w14:textId="77777777" w:rsidTr="0070012D">
        <w:tc>
          <w:tcPr>
            <w:tcW w:w="2405" w:type="dxa"/>
          </w:tcPr>
          <w:p w14:paraId="7E3B0D1A" w14:textId="7307626D" w:rsidR="004E2908" w:rsidRPr="004E2908" w:rsidRDefault="004E2908" w:rsidP="00C35F8E">
            <w:pPr>
              <w:rPr>
                <w:lang w:eastAsia="zh-CN"/>
              </w:rPr>
            </w:pPr>
            <w:r w:rsidRPr="004E2908">
              <w:rPr>
                <w:lang w:eastAsia="zh-CN"/>
              </w:rPr>
              <w:t>Convida Wireless</w:t>
            </w:r>
          </w:p>
        </w:tc>
        <w:tc>
          <w:tcPr>
            <w:tcW w:w="12176" w:type="dxa"/>
          </w:tcPr>
          <w:p w14:paraId="3A728B77" w14:textId="2E66A712" w:rsidR="004E2908" w:rsidRDefault="004E2908" w:rsidP="00DC362D">
            <w:pPr>
              <w:rPr>
                <w:lang w:eastAsia="zh-CN"/>
              </w:rPr>
            </w:pPr>
            <w:r w:rsidRPr="004E2908">
              <w:rPr>
                <w:lang w:eastAsia="zh-CN"/>
              </w:rPr>
              <w:t>We prefer Alt 2.</w:t>
            </w:r>
          </w:p>
        </w:tc>
      </w:tr>
      <w:tr w:rsidR="000960AC" w14:paraId="273BEC78" w14:textId="77777777" w:rsidTr="0070012D">
        <w:tc>
          <w:tcPr>
            <w:tcW w:w="2405" w:type="dxa"/>
          </w:tcPr>
          <w:p w14:paraId="5B21A2B5" w14:textId="3601DF61" w:rsidR="000960AC" w:rsidRPr="004E2908" w:rsidRDefault="000960AC" w:rsidP="000960AC">
            <w:pPr>
              <w:rPr>
                <w:lang w:eastAsia="zh-CN"/>
              </w:rPr>
            </w:pPr>
            <w:r>
              <w:rPr>
                <w:lang w:val="en-GB" w:eastAsia="zh-CN"/>
              </w:rPr>
              <w:t>Intel</w:t>
            </w:r>
          </w:p>
        </w:tc>
        <w:tc>
          <w:tcPr>
            <w:tcW w:w="12176" w:type="dxa"/>
          </w:tcPr>
          <w:p w14:paraId="00E34AEC" w14:textId="378797A5" w:rsidR="000960AC" w:rsidRDefault="000960AC" w:rsidP="000960AC">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2ABDDDDB"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how to define a window (multiple consecutive slots) to apply max BD/CCE</w:t>
            </w:r>
            <w:r>
              <w:rPr>
                <w:rFonts w:ascii="Times New Roman" w:hAnsi="Times New Roman"/>
                <w:lang w:eastAsia="zh-CN"/>
              </w:rPr>
              <w:t>?</w:t>
            </w:r>
          </w:p>
          <w:p w14:paraId="50F4F526"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 xml:space="preserve">for Alt 1, </w:t>
            </w:r>
            <w:r>
              <w:rPr>
                <w:rFonts w:ascii="Times New Roman" w:hAnsi="Times New Roman"/>
                <w:lang w:eastAsia="zh-CN"/>
              </w:rPr>
              <w:t xml:space="preserve">the </w:t>
            </w:r>
            <w:r w:rsidRPr="008415E7">
              <w:rPr>
                <w:rFonts w:ascii="Times New Roman" w:hAnsi="Times New Roman"/>
                <w:lang w:eastAsia="zh-CN"/>
              </w:rPr>
              <w:t>our understanding is window size is N slots</w:t>
            </w:r>
            <w:r>
              <w:rPr>
                <w:rFonts w:ascii="Times New Roman" w:hAnsi="Times New Roman"/>
                <w:lang w:eastAsia="zh-CN"/>
              </w:rPr>
              <w:t>, the kth window includes slots k*N+[0,1,…N-1]</w:t>
            </w:r>
          </w:p>
          <w:p w14:paraId="606D88EF"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window size is X slots</w:t>
            </w:r>
            <w:r>
              <w:rPr>
                <w:rFonts w:ascii="Times New Roman" w:hAnsi="Times New Roman"/>
                <w:lang w:eastAsia="zh-CN"/>
              </w:rPr>
              <w:t xml:space="preserve">. Since X is the minimum gap, the different windows may not be consecutive </w:t>
            </w:r>
          </w:p>
          <w:p w14:paraId="652B1DF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our understanding is window size is N slots</w:t>
            </w:r>
            <w:r>
              <w:rPr>
                <w:rFonts w:ascii="Times New Roman" w:hAnsi="Times New Roman"/>
                <w:lang w:eastAsia="zh-CN"/>
              </w:rPr>
              <w:t>, the kth window include slots k+[0,1,…N-1]</w:t>
            </w:r>
          </w:p>
          <w:p w14:paraId="4229E1E7"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is there a limitation that PDCCH MO can only be configured in a subset of slots with fixed position</w:t>
            </w:r>
            <w:r>
              <w:rPr>
                <w:rFonts w:ascii="Times New Roman" w:hAnsi="Times New Roman"/>
                <w:lang w:eastAsia="zh-CN"/>
              </w:rPr>
              <w:t>s</w:t>
            </w:r>
            <w:r w:rsidRPr="008415E7">
              <w:rPr>
                <w:rFonts w:ascii="Times New Roman" w:hAnsi="Times New Roman"/>
                <w:lang w:eastAsia="zh-CN"/>
              </w:rPr>
              <w:t xml:space="preserve"> in the window</w:t>
            </w:r>
            <w:r>
              <w:rPr>
                <w:rFonts w:ascii="Times New Roman" w:hAnsi="Times New Roman"/>
                <w:lang w:eastAsia="zh-CN"/>
              </w:rPr>
              <w:t>?</w:t>
            </w:r>
          </w:p>
          <w:p w14:paraId="5BCC2BD7"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1, we think there is no limitation on such subset of slots</w:t>
            </w:r>
            <w:r>
              <w:rPr>
                <w:rFonts w:ascii="Times New Roman" w:hAnsi="Times New Roman"/>
                <w:lang w:eastAsia="zh-CN"/>
              </w:rPr>
              <w:t xml:space="preserve"> (or, we can say the subset equals to the whole window)</w:t>
            </w:r>
            <w:r w:rsidRPr="008415E7">
              <w:rPr>
                <w:rFonts w:ascii="Times New Roman" w:hAnsi="Times New Roman"/>
                <w:lang w:eastAsia="zh-CN"/>
              </w:rPr>
              <w:t>. it is allowed for gNB to configure PDCCH MOs in any slot in the window. The position of slot (s) containing MOs can be different in different window</w:t>
            </w:r>
            <w:r>
              <w:rPr>
                <w:rFonts w:ascii="Times New Roman" w:hAnsi="Times New Roman"/>
                <w:lang w:eastAsia="zh-CN"/>
              </w:rPr>
              <w:t>s</w:t>
            </w:r>
            <w:r w:rsidRPr="008415E7">
              <w:rPr>
                <w:rFonts w:ascii="Times New Roman" w:hAnsi="Times New Roman"/>
                <w:lang w:eastAsia="zh-CN"/>
              </w:rPr>
              <w:t xml:space="preserve">. </w:t>
            </w:r>
            <w:r>
              <w:rPr>
                <w:rFonts w:ascii="Times New Roman" w:hAnsi="Times New Roman"/>
                <w:lang w:eastAsia="zh-CN"/>
              </w:rPr>
              <w:t>However</w:t>
            </w:r>
            <w:r w:rsidRPr="008415E7">
              <w:rPr>
                <w:rFonts w:ascii="Times New Roman" w:hAnsi="Times New Roman"/>
                <w:lang w:eastAsia="zh-CN"/>
              </w:rPr>
              <w:t>, due to limitation of max BD/CCE, gNB will practically not configure MOs in all slots in the window</w:t>
            </w:r>
          </w:p>
          <w:p w14:paraId="42BAB78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it limit to Y fixed consecutive slots/symbols in the window</w:t>
            </w:r>
          </w:p>
          <w:p w14:paraId="101FFA35"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same as Alt 1</w:t>
            </w:r>
          </w:p>
          <w:p w14:paraId="35CE8B43" w14:textId="77777777" w:rsidR="000960AC" w:rsidRDefault="000960AC" w:rsidP="000960AC">
            <w:pPr>
              <w:rPr>
                <w:lang w:eastAsia="zh-CN"/>
              </w:rPr>
            </w:pPr>
            <w:r>
              <w:rPr>
                <w:lang w:eastAsia="zh-CN"/>
              </w:rPr>
              <w:t>With the above understanding,</w:t>
            </w:r>
          </w:p>
          <w:p w14:paraId="4FC1522B" w14:textId="77777777" w:rsidR="000960AC"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1, the windows are always consecutive and non-overlap</w:t>
            </w:r>
          </w:p>
          <w:p w14:paraId="467A2ABD" w14:textId="77777777" w:rsidR="000960AC" w:rsidRPr="008415E7"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2, the windows are sliding and non-overlap</w:t>
            </w:r>
          </w:p>
          <w:p w14:paraId="346BD0F4" w14:textId="7D04EAD8" w:rsidR="000960AC" w:rsidRPr="004E2908" w:rsidRDefault="000960AC" w:rsidP="002E3EAB">
            <w:pPr>
              <w:pStyle w:val="ListParagraph"/>
              <w:numPr>
                <w:ilvl w:val="0"/>
                <w:numId w:val="49"/>
              </w:numPr>
              <w:rPr>
                <w:lang w:eastAsia="zh-CN"/>
              </w:rPr>
            </w:pPr>
            <w:r w:rsidRPr="008415E7">
              <w:rPr>
                <w:lang w:eastAsia="zh-CN"/>
              </w:rPr>
              <w:t xml:space="preserve">for Alt </w:t>
            </w:r>
            <w:r w:rsidR="00A50DE3">
              <w:rPr>
                <w:lang w:eastAsia="zh-CN"/>
              </w:rPr>
              <w:t>3</w:t>
            </w:r>
            <w:r w:rsidRPr="008415E7">
              <w:rPr>
                <w:lang w:eastAsia="zh-CN"/>
              </w:rPr>
              <w:t xml:space="preserve">, </w:t>
            </w:r>
            <w:r>
              <w:rPr>
                <w:lang w:eastAsia="zh-CN"/>
              </w:rPr>
              <w:t xml:space="preserve">the windows are </w:t>
            </w:r>
            <w:r w:rsidRPr="002E3EAB">
              <w:rPr>
                <w:rFonts w:ascii="Times New Roman" w:hAnsi="Times New Roman"/>
                <w:lang w:eastAsia="zh-CN"/>
              </w:rPr>
              <w:t>sliding</w:t>
            </w:r>
            <w:r>
              <w:rPr>
                <w:lang w:eastAsia="zh-CN"/>
              </w:rPr>
              <w:t xml:space="preserve"> and can overlap</w:t>
            </w:r>
          </w:p>
        </w:tc>
      </w:tr>
      <w:tr w:rsidR="000C11D9" w:rsidRPr="007B0465" w14:paraId="2378B425" w14:textId="77777777" w:rsidTr="00463DCE">
        <w:tc>
          <w:tcPr>
            <w:tcW w:w="2405" w:type="dxa"/>
          </w:tcPr>
          <w:p w14:paraId="67942185" w14:textId="77777777" w:rsidR="000C11D9" w:rsidRPr="007B0465" w:rsidRDefault="000C11D9" w:rsidP="00463DCE">
            <w:pPr>
              <w:rPr>
                <w:lang w:eastAsia="zh"/>
              </w:rPr>
            </w:pPr>
            <w:r w:rsidRPr="007B0465">
              <w:rPr>
                <w:lang w:eastAsia="zh"/>
              </w:rPr>
              <w:t>LG Electronics</w:t>
            </w:r>
          </w:p>
        </w:tc>
        <w:tc>
          <w:tcPr>
            <w:tcW w:w="12176" w:type="dxa"/>
          </w:tcPr>
          <w:p w14:paraId="17224193" w14:textId="77777777" w:rsidR="00DE0DC3" w:rsidRDefault="000C11D9" w:rsidP="00DE0DC3">
            <w:pPr>
              <w:rPr>
                <w:lang w:eastAsia="zh-CN"/>
              </w:rPr>
            </w:pPr>
            <w:r w:rsidRPr="007B0465">
              <w:rPr>
                <w:lang w:eastAsia="zh-CN"/>
              </w:rPr>
              <w:t>We prefer Alt</w:t>
            </w:r>
            <w:r>
              <w:rPr>
                <w:lang w:eastAsia="zh-CN"/>
              </w:rPr>
              <w:t xml:space="preserve"> </w:t>
            </w:r>
            <w:r w:rsidRPr="007B0465">
              <w:rPr>
                <w:lang w:eastAsia="zh-CN"/>
              </w:rPr>
              <w:t>1</w:t>
            </w:r>
            <w:r w:rsidRPr="007B0465">
              <w:t xml:space="preserve"> </w:t>
            </w:r>
            <w:r w:rsidRPr="007B0465">
              <w:rPr>
                <w:lang w:eastAsia="zh-CN"/>
              </w:rPr>
              <w:t>as the baseline to define the multi-slot PDCCH monitoring capability</w:t>
            </w:r>
            <w:r w:rsidR="004F3AA1">
              <w:rPr>
                <w:lang w:eastAsia="zh-CN"/>
              </w:rPr>
              <w:t xml:space="preserve"> (where s</w:t>
            </w:r>
            <w:r w:rsidRPr="007B0465">
              <w:rPr>
                <w:lang w:eastAsia="zh-CN"/>
              </w:rPr>
              <w:t>pecific number for N can be discussed</w:t>
            </w:r>
            <w:r w:rsidR="004F3AA1">
              <w:rPr>
                <w:lang w:eastAsia="zh-CN"/>
              </w:rPr>
              <w:t xml:space="preserve"> further)</w:t>
            </w:r>
            <w:r w:rsidRPr="007B0465">
              <w:rPr>
                <w:lang w:eastAsia="zh-CN"/>
              </w:rPr>
              <w:t>.</w:t>
            </w:r>
            <w:r w:rsidR="004F3AA1">
              <w:rPr>
                <w:lang w:eastAsia="zh-CN"/>
              </w:rPr>
              <w:t xml:space="preserve"> </w:t>
            </w:r>
          </w:p>
          <w:p w14:paraId="38D6CCB9" w14:textId="183A50D6" w:rsidR="000C11D9" w:rsidRPr="007B0465" w:rsidRDefault="000C11D9" w:rsidP="00DE0DC3">
            <w:pPr>
              <w:rPr>
                <w:lang w:eastAsia="zh-CN"/>
              </w:rPr>
            </w:pPr>
            <w:r>
              <w:rPr>
                <w:lang w:eastAsia="zh-CN"/>
              </w:rPr>
              <w:t xml:space="preserve">In addition, </w:t>
            </w:r>
            <w:r w:rsidR="00DE0DC3">
              <w:rPr>
                <w:lang w:eastAsia="zh-CN"/>
              </w:rPr>
              <w:t xml:space="preserve">before down-selection, further discussion seems to be necessary to clearly understand and distinguish each alternative. It </w:t>
            </w:r>
            <w:r w:rsidR="00DE0DC3">
              <w:rPr>
                <w:lang w:eastAsia="zh-CN"/>
              </w:rPr>
              <w:lastRenderedPageBreak/>
              <w:t xml:space="preserve">may be premature to try down-selection before that, and so far we are not sure if all companies share the same understanding. </w:t>
            </w:r>
          </w:p>
        </w:tc>
      </w:tr>
      <w:tr w:rsidR="00E44518" w:rsidRPr="007B0465" w14:paraId="5339F83B" w14:textId="77777777" w:rsidTr="00463DCE">
        <w:tc>
          <w:tcPr>
            <w:tcW w:w="2405" w:type="dxa"/>
          </w:tcPr>
          <w:p w14:paraId="6CA53333" w14:textId="06D5A9B8" w:rsidR="00E44518" w:rsidRPr="007B0465" w:rsidRDefault="00E44518" w:rsidP="00E44518">
            <w:pPr>
              <w:rPr>
                <w:lang w:eastAsia="zh"/>
              </w:rPr>
            </w:pPr>
            <w:r>
              <w:rPr>
                <w:lang w:val="en-GB" w:eastAsia="zh-CN"/>
              </w:rPr>
              <w:lastRenderedPageBreak/>
              <w:t>Futurewei</w:t>
            </w:r>
          </w:p>
        </w:tc>
        <w:tc>
          <w:tcPr>
            <w:tcW w:w="12176" w:type="dxa"/>
          </w:tcPr>
          <w:p w14:paraId="18AA2AD5" w14:textId="0CC1EAD4" w:rsidR="00E44518" w:rsidRPr="007B0465" w:rsidRDefault="00BC5166" w:rsidP="00E44518">
            <w:pPr>
              <w:rPr>
                <w:lang w:eastAsia="zh-CN"/>
              </w:rPr>
            </w:pPr>
            <w:r>
              <w:rPr>
                <w:lang w:eastAsia="zh-CN"/>
              </w:rPr>
              <w:t>We note that further clarifications were made during the email thread discussions. Based on these clarifications, w</w:t>
            </w:r>
            <w:r w:rsidR="00E44518">
              <w:rPr>
                <w:lang w:eastAsia="zh-CN"/>
              </w:rPr>
              <w:t xml:space="preserve">e </w:t>
            </w:r>
            <w:r>
              <w:rPr>
                <w:lang w:eastAsia="zh-CN"/>
              </w:rPr>
              <w:t xml:space="preserve">slightly </w:t>
            </w:r>
            <w:r w:rsidR="00E44518">
              <w:rPr>
                <w:lang w:eastAsia="zh-CN"/>
              </w:rPr>
              <w:t>support Alt 2</w:t>
            </w:r>
            <w:r>
              <w:rPr>
                <w:lang w:eastAsia="zh-CN"/>
              </w:rPr>
              <w:t xml:space="preserve"> over Alt 1 for its additional flexibility. We prefer to postpone the Alt 3 discussions. </w:t>
            </w:r>
          </w:p>
        </w:tc>
      </w:tr>
      <w:tr w:rsidR="00EC18F7" w:rsidRPr="007B0465" w14:paraId="5FCB7F21" w14:textId="77777777" w:rsidTr="00463DCE">
        <w:tc>
          <w:tcPr>
            <w:tcW w:w="2405" w:type="dxa"/>
          </w:tcPr>
          <w:p w14:paraId="26CFBEF2" w14:textId="1CD90529" w:rsidR="00EC18F7" w:rsidRDefault="00EC18F7" w:rsidP="00E44518">
            <w:pPr>
              <w:rPr>
                <w:lang w:val="en-GB" w:eastAsia="zh-CN"/>
              </w:rPr>
            </w:pPr>
            <w:r>
              <w:rPr>
                <w:lang w:val="en-GB" w:eastAsia="zh-CN"/>
              </w:rPr>
              <w:t>MediaTek</w:t>
            </w:r>
          </w:p>
        </w:tc>
        <w:tc>
          <w:tcPr>
            <w:tcW w:w="12176" w:type="dxa"/>
          </w:tcPr>
          <w:p w14:paraId="6A824637" w14:textId="77777777" w:rsidR="002C02A6" w:rsidRDefault="00EC18F7" w:rsidP="00E44518">
            <w:pPr>
              <w:rPr>
                <w:lang w:eastAsia="zh-CN"/>
              </w:rPr>
            </w:pPr>
            <w:r>
              <w:rPr>
                <w:lang w:eastAsia="zh-CN"/>
              </w:rPr>
              <w:t xml:space="preserve">Our first preference is Alt-1 and we can </w:t>
            </w:r>
            <w:r w:rsidR="002C02A6">
              <w:rPr>
                <w:lang w:eastAsia="zh-CN"/>
              </w:rPr>
              <w:t xml:space="preserve">consider </w:t>
            </w:r>
            <w:r>
              <w:rPr>
                <w:lang w:eastAsia="zh-CN"/>
              </w:rPr>
              <w:t>Alt-2</w:t>
            </w:r>
            <w:r w:rsidR="002C02A6">
              <w:rPr>
                <w:lang w:eastAsia="zh-CN"/>
              </w:rPr>
              <w:t xml:space="preserve"> for further discussion. In particular, for Alt-1, we think the alternatives in discussion A1-2b.1 should be included in the Alt-1 for completeness. In that case, we support Alt-1+ MSM-1-1 in A1-2b.1 as the basic functionality and other combination can be further studied.</w:t>
            </w:r>
          </w:p>
          <w:p w14:paraId="204700A3" w14:textId="77777777" w:rsidR="002C02A6" w:rsidRDefault="002C02A6" w:rsidP="00E44518">
            <w:pPr>
              <w:rPr>
                <w:lang w:eastAsia="zh-CN"/>
              </w:rPr>
            </w:pPr>
          </w:p>
          <w:p w14:paraId="0ADD1DC3" w14:textId="2959442A" w:rsidR="00EC18F7" w:rsidRDefault="002C02A6" w:rsidP="00772D31">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w:t>
            </w:r>
            <w:r w:rsidR="00772D31">
              <w:rPr>
                <w:lang w:eastAsia="zh-CN"/>
              </w:rPr>
              <w:t xml:space="preserve">Alt-3 has the most flexible monitoring occasion locations but </w:t>
            </w:r>
            <w:r>
              <w:rPr>
                <w:lang w:eastAsia="zh-CN"/>
              </w:rPr>
              <w:t xml:space="preserve">Alt-3 might make BD/CCE distribution from gNB more difficult than other alternatives since gNB needs to make sure the BD/CCE distribution in a monitoring occasion </w:t>
            </w:r>
            <w:r w:rsidR="00772D31">
              <w:rPr>
                <w:lang w:eastAsia="zh-CN"/>
              </w:rPr>
              <w:t>don’t violate the BD/CCE limit when considering the monitoring occasions in the previous N-1 symbols and future N-1 symbols.</w:t>
            </w:r>
            <w:r>
              <w:rPr>
                <w:lang w:eastAsia="zh-CN"/>
              </w:rPr>
              <w:t xml:space="preserve">   </w:t>
            </w:r>
          </w:p>
        </w:tc>
      </w:tr>
      <w:tr w:rsidR="00F26058" w:rsidRPr="007B0465" w14:paraId="40C2436C" w14:textId="77777777" w:rsidTr="00463DCE">
        <w:tc>
          <w:tcPr>
            <w:tcW w:w="2405" w:type="dxa"/>
          </w:tcPr>
          <w:p w14:paraId="143F6A75" w14:textId="6C6E69F1" w:rsidR="00F26058" w:rsidRDefault="00F26058" w:rsidP="00E44518">
            <w:pPr>
              <w:rPr>
                <w:lang w:val="en-GB" w:eastAsia="zh-CN"/>
              </w:rPr>
            </w:pPr>
            <w:r>
              <w:rPr>
                <w:lang w:val="en-GB" w:eastAsia="zh-CN"/>
              </w:rPr>
              <w:t>Samsung</w:t>
            </w:r>
          </w:p>
        </w:tc>
        <w:tc>
          <w:tcPr>
            <w:tcW w:w="12176" w:type="dxa"/>
          </w:tcPr>
          <w:p w14:paraId="5FE3C9D1" w14:textId="75D17E6D" w:rsidR="00F26058" w:rsidRDefault="00F26058" w:rsidP="00E44518">
            <w:pPr>
              <w:rPr>
                <w:lang w:eastAsia="zh-CN"/>
              </w:rPr>
            </w:pPr>
            <w:r>
              <w:rPr>
                <w:lang w:eastAsia="zh-CN"/>
              </w:rPr>
              <w:t xml:space="preserve">We support Alt 2, and ok with a larger value of Y as a UE capability to support better network flexibility. </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 xml:space="preserve">52.6-71GHz does not belong to FR2, but this is pending RAN plenary </w:t>
            </w:r>
            <w:r>
              <w:lastRenderedPageBreak/>
              <w:t>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lastRenderedPageBreak/>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w:t>
            </w:r>
            <w:r>
              <w:rPr>
                <w:lang w:eastAsia="zh-CN"/>
              </w:rPr>
              <w:lastRenderedPageBreak/>
              <w:t xml:space="preserve">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lastRenderedPageBreak/>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lastRenderedPageBreak/>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lastRenderedPageBreak/>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lastRenderedPageBreak/>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lastRenderedPageBreak/>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lastRenderedPageBreak/>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lastRenderedPageBreak/>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xml:space="preserve">. So new periodicity parameters may need to be introduced for the new SCSs, as well as the search </w:t>
            </w:r>
            <w:r>
              <w:rPr>
                <w:rFonts w:cs="Calibri"/>
                <w:iCs/>
                <w:lang w:val="en-GB" w:eastAsia="zh-CN"/>
              </w:rPr>
              <w:lastRenderedPageBreak/>
              <w:t>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lastRenderedPageBreak/>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w:t>
            </w:r>
            <w:r>
              <w:rPr>
                <w:bCs/>
              </w:rPr>
              <w:lastRenderedPageBreak/>
              <w:t xml:space="preserve">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lastRenderedPageBreak/>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6.25pt;height:367.5pt;mso-width-percent:0;mso-height-percent:0;mso-width-percent:0;mso-height-percent:0" o:ole="">
                  <v:imagedata r:id="rId16" o:title=""/>
                </v:shape>
                <o:OLEObject Type="Embed" ProgID="Visio.Drawing.15" ShapeID="_x0000_i1026" DrawAspect="Content" ObjectID="_1673772857"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0EE31118" w14:textId="77777777" w:rsidR="00526256" w:rsidRDefault="00526256">
            <w:pPr>
              <w:spacing w:beforeLines="50" w:before="120"/>
              <w:jc w:val="both"/>
              <w:rPr>
                <w:lang w:eastAsia="zh-CN"/>
              </w:rPr>
            </w:pPr>
          </w:p>
        </w:tc>
      </w:tr>
      <w:bookmarkEnd w:id="10"/>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9E61CB">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9E61CB">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9E61CB">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9E61CB">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9E61CB">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9E61CB">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7.25pt;height:119.25pt;mso-width-percent:0;mso-height-percent:0;mso-width-percent:0;mso-height-percent:0" o:ole="">
                  <v:imagedata r:id="rId19" o:title=""/>
                </v:shape>
                <o:OLEObject Type="Embed" ProgID="Visio.Drawing.15" ShapeID="_x0000_i1027" DrawAspect="Content" ObjectID="_1673772858" r:id="rId20"/>
              </w:object>
            </w:r>
          </w:p>
          <w:p w14:paraId="69D3847D" w14:textId="77777777" w:rsidR="00526256" w:rsidRDefault="00064B3A">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30" w:name="_Toc61547195"/>
            <w:bookmarkStart w:id="31" w:name="_Toc61822876"/>
            <w:bookmarkStart w:id="32" w:name="_Toc61859755"/>
            <w:bookmarkStart w:id="33" w:name="_Toc61547161"/>
            <w:bookmarkStart w:id="34" w:name="_Toc61869390"/>
            <w:bookmarkStart w:id="35" w:name="_Toc61547146"/>
            <w:bookmarkStart w:id="36" w:name="_Toc61546060"/>
            <w:bookmarkStart w:id="37"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9" w:name="_Toc61859756"/>
            <w:bookmarkStart w:id="40" w:name="_Toc61547162"/>
            <w:bookmarkStart w:id="41" w:name="_Toc61547147"/>
            <w:bookmarkStart w:id="42" w:name="_Toc61822877"/>
            <w:bookmarkStart w:id="43" w:name="_Toc61547196"/>
            <w:bookmarkStart w:id="44" w:name="_Toc61546061"/>
            <w:bookmarkStart w:id="45" w:name="_Toc61293887"/>
            <w:bookmarkStart w:id="46" w:name="_Toc61869391"/>
            <w:bookmarkStart w:id="47" w:name="_Toc61859945"/>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9" w:name="_Toc61547163"/>
            <w:bookmarkStart w:id="50" w:name="_Toc61859946"/>
            <w:bookmarkStart w:id="51" w:name="_Toc61859757"/>
            <w:bookmarkStart w:id="52" w:name="_Toc61869392"/>
            <w:bookmarkStart w:id="53" w:name="_Toc61547197"/>
            <w:bookmarkStart w:id="54" w:name="_Toc61293888"/>
            <w:bookmarkStart w:id="55" w:name="_Toc61547148"/>
            <w:bookmarkStart w:id="56" w:name="_Toc61822878"/>
            <w:bookmarkStart w:id="57" w:name="_Toc61546062"/>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346547E2" w14:textId="77777777" w:rsidR="00526256" w:rsidRDefault="00526256"/>
          <w:p w14:paraId="2C838591" w14:textId="77777777" w:rsidR="00526256" w:rsidRDefault="00064B3A">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4" w:name="_Toc61547198"/>
            <w:bookmarkStart w:id="65" w:name="_Toc61293889"/>
            <w:bookmarkStart w:id="66" w:name="_Toc61547149"/>
            <w:bookmarkStart w:id="67" w:name="_Toc61547164"/>
            <w:bookmarkStart w:id="68" w:name="_Toc61869394"/>
            <w:bookmarkStart w:id="69" w:name="_Toc61822880"/>
            <w:bookmarkStart w:id="70" w:name="_Toc61859948"/>
            <w:bookmarkStart w:id="71" w:name="_Toc61859759"/>
            <w:bookmarkStart w:id="72"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4EE96EFD" w14:textId="77777777" w:rsidR="00526256" w:rsidRDefault="00064B3A">
            <w:pPr>
              <w:pStyle w:val="Caption"/>
              <w:jc w:val="left"/>
            </w:pPr>
            <w:bookmarkStart w:id="73" w:name="_Toc61546065"/>
            <w:bookmarkStart w:id="74" w:name="_Toc61547166"/>
            <w:bookmarkStart w:id="75" w:name="_Toc61869396"/>
            <w:bookmarkStart w:id="76" w:name="_Toc61859761"/>
            <w:bookmarkStart w:id="77" w:name="_Toc61547200"/>
            <w:bookmarkStart w:id="78" w:name="_Toc61822882"/>
            <w:bookmarkStart w:id="79" w:name="_Toc61547151"/>
            <w:bookmarkStart w:id="80" w:name="_Toc61293932"/>
            <w:bookmarkStart w:id="81"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5pt;height:141.75pt;mso-width-percent:0;mso-height-percent:0;mso-width-percent:0;mso-height-percent:0" o:ole="">
                  <v:imagedata r:id="rId22" o:title=""/>
                </v:shape>
                <o:OLEObject Type="Embed" ProgID="Visio.Drawing.15" ShapeID="_x0000_i1028" DrawAspect="Content" ObjectID="_1673772859" r:id="rId23"/>
              </w:object>
            </w:r>
          </w:p>
          <w:p w14:paraId="30250478" w14:textId="77777777" w:rsidR="00526256" w:rsidRDefault="00064B3A">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25pt;height:206.25pt;mso-width-percent:0;mso-height-percent:0;mso-width-percent:0;mso-height-percent:0" o:ole="">
                  <v:imagedata r:id="rId24" o:title=""/>
                </v:shape>
                <o:OLEObject Type="Embed" ProgID="Visio.Drawing.15" ShapeID="_x0000_i1029" DrawAspect="Content" ObjectID="_1673772860" r:id="rId25"/>
              </w:object>
            </w:r>
          </w:p>
          <w:p w14:paraId="3A8BCA2C" w14:textId="77777777" w:rsidR="00526256" w:rsidRDefault="00064B3A">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25pt;height:206.25pt;mso-width-percent:0;mso-height-percent:0;mso-width-percent:0;mso-height-percent:0" o:ole="">
                  <v:imagedata r:id="rId24" o:title=""/>
                </v:shape>
                <o:OLEObject Type="Embed" ProgID="Visio.Drawing.15" ShapeID="_x0000_i1030" DrawAspect="Content" ObjectID="_1673772861"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5" w:name="_Toc61859949"/>
            <w:bookmarkStart w:id="86" w:name="_Toc61547165"/>
            <w:bookmarkStart w:id="87" w:name="_Toc61869395"/>
            <w:bookmarkStart w:id="88" w:name="_Toc61293890"/>
            <w:bookmarkStart w:id="89" w:name="_Toc61822881"/>
            <w:bookmarkStart w:id="90" w:name="_Toc61859760"/>
            <w:bookmarkStart w:id="91" w:name="_Toc61547199"/>
            <w:bookmarkStart w:id="92" w:name="_Toc61547150"/>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4" w:name="_Toc61547152"/>
            <w:bookmarkStart w:id="95" w:name="_Toc61869397"/>
            <w:bookmarkStart w:id="96" w:name="_Toc61546066"/>
            <w:bookmarkStart w:id="97" w:name="_Toc61547167"/>
            <w:bookmarkStart w:id="98" w:name="_Toc61547201"/>
            <w:bookmarkStart w:id="99" w:name="_Toc61859762"/>
            <w:bookmarkStart w:id="100" w:name="_Toc61822883"/>
            <w:bookmarkStart w:id="101"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40.25pt;height:137.25pt;mso-width-percent:0;mso-height-percent:0;mso-width-percent:0;mso-height-percent:0" o:ole="">
                  <v:imagedata r:id="rId27" o:title=""/>
                </v:shape>
                <o:OLEObject Type="Embed" ProgID="Visio.Drawing.15" ShapeID="_x0000_i1031" DrawAspect="Content" ObjectID="_1673772862" r:id="rId28"/>
              </w:object>
            </w:r>
          </w:p>
          <w:p w14:paraId="5CB28C48" w14:textId="77777777" w:rsidR="00526256" w:rsidRDefault="00064B3A">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2DCD" w14:textId="77777777" w:rsidR="009E61CB" w:rsidRDefault="009E61CB" w:rsidP="00206CE8">
      <w:pPr>
        <w:spacing w:after="0" w:line="240" w:lineRule="auto"/>
      </w:pPr>
      <w:r>
        <w:separator/>
      </w:r>
    </w:p>
  </w:endnote>
  <w:endnote w:type="continuationSeparator" w:id="0">
    <w:p w14:paraId="7B7531C2" w14:textId="77777777" w:rsidR="009E61CB" w:rsidRDefault="009E61CB"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3866" w14:textId="77777777" w:rsidR="009E61CB" w:rsidRDefault="009E61CB" w:rsidP="00206CE8">
      <w:pPr>
        <w:spacing w:after="0" w:line="240" w:lineRule="auto"/>
      </w:pPr>
      <w:r>
        <w:separator/>
      </w:r>
    </w:p>
  </w:footnote>
  <w:footnote w:type="continuationSeparator" w:id="0">
    <w:p w14:paraId="48AD89AB" w14:textId="77777777" w:rsidR="009E61CB" w:rsidRDefault="009E61CB"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1D6C7F22"/>
    <w:multiLevelType w:val="hybridMultilevel"/>
    <w:tmpl w:val="03FACBE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3"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52698"/>
    <w:multiLevelType w:val="hybridMultilevel"/>
    <w:tmpl w:val="989C43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4652AAC"/>
    <w:multiLevelType w:val="hybridMultilevel"/>
    <w:tmpl w:val="AB2E8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7"/>
  </w:num>
  <w:num w:numId="4">
    <w:abstractNumId w:val="41"/>
  </w:num>
  <w:num w:numId="5">
    <w:abstractNumId w:val="33"/>
  </w:num>
  <w:num w:numId="6">
    <w:abstractNumId w:val="23"/>
  </w:num>
  <w:num w:numId="7">
    <w:abstractNumId w:val="25"/>
  </w:num>
  <w:num w:numId="8">
    <w:abstractNumId w:val="48"/>
  </w:num>
  <w:num w:numId="9">
    <w:abstractNumId w:val="26"/>
  </w:num>
  <w:num w:numId="10">
    <w:abstractNumId w:val="44"/>
  </w:num>
  <w:num w:numId="11">
    <w:abstractNumId w:val="19"/>
  </w:num>
  <w:num w:numId="12">
    <w:abstractNumId w:val="11"/>
  </w:num>
  <w:num w:numId="13">
    <w:abstractNumId w:val="16"/>
  </w:num>
  <w:num w:numId="14">
    <w:abstractNumId w:val="46"/>
  </w:num>
  <w:num w:numId="15">
    <w:abstractNumId w:val="31"/>
  </w:num>
  <w:num w:numId="16">
    <w:abstractNumId w:val="5"/>
  </w:num>
  <w:num w:numId="17">
    <w:abstractNumId w:val="28"/>
  </w:num>
  <w:num w:numId="18">
    <w:abstractNumId w:val="34"/>
  </w:num>
  <w:num w:numId="19">
    <w:abstractNumId w:val="27"/>
  </w:num>
  <w:num w:numId="20">
    <w:abstractNumId w:val="39"/>
  </w:num>
  <w:num w:numId="21">
    <w:abstractNumId w:val="29"/>
  </w:num>
  <w:num w:numId="22">
    <w:abstractNumId w:val="18"/>
  </w:num>
  <w:num w:numId="23">
    <w:abstractNumId w:val="38"/>
  </w:num>
  <w:num w:numId="24">
    <w:abstractNumId w:val="36"/>
  </w:num>
  <w:num w:numId="25">
    <w:abstractNumId w:val="10"/>
  </w:num>
  <w:num w:numId="26">
    <w:abstractNumId w:val="0"/>
  </w:num>
  <w:num w:numId="27">
    <w:abstractNumId w:val="7"/>
  </w:num>
  <w:num w:numId="28">
    <w:abstractNumId w:val="21"/>
  </w:num>
  <w:num w:numId="29">
    <w:abstractNumId w:val="24"/>
  </w:num>
  <w:num w:numId="30">
    <w:abstractNumId w:val="3"/>
  </w:num>
  <w:num w:numId="31">
    <w:abstractNumId w:val="22"/>
  </w:num>
  <w:num w:numId="32">
    <w:abstractNumId w:val="13"/>
  </w:num>
  <w:num w:numId="33">
    <w:abstractNumId w:val="12"/>
  </w:num>
  <w:num w:numId="34">
    <w:abstractNumId w:val="4"/>
  </w:num>
  <w:num w:numId="35">
    <w:abstractNumId w:val="2"/>
  </w:num>
  <w:num w:numId="36">
    <w:abstractNumId w:val="17"/>
  </w:num>
  <w:num w:numId="37">
    <w:abstractNumId w:val="35"/>
  </w:num>
  <w:num w:numId="38">
    <w:abstractNumId w:val="30"/>
  </w:num>
  <w:num w:numId="39">
    <w:abstractNumId w:val="1"/>
  </w:num>
  <w:num w:numId="40">
    <w:abstractNumId w:val="8"/>
  </w:num>
  <w:num w:numId="41">
    <w:abstractNumId w:val="37"/>
  </w:num>
  <w:num w:numId="42">
    <w:abstractNumId w:val="45"/>
  </w:num>
  <w:num w:numId="43">
    <w:abstractNumId w:val="43"/>
  </w:num>
  <w:num w:numId="44">
    <w:abstractNumId w:val="20"/>
  </w:num>
  <w:num w:numId="45">
    <w:abstractNumId w:val="32"/>
  </w:num>
  <w:num w:numId="46">
    <w:abstractNumId w:val="14"/>
  </w:num>
  <w:num w:numId="47">
    <w:abstractNumId w:val="29"/>
  </w:num>
  <w:num w:numId="48">
    <w:abstractNumId w:val="9"/>
  </w:num>
  <w:num w:numId="49">
    <w:abstractNumId w:val="42"/>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vsdx"/><Relationship Id="rId18" Type="http://schemas.openxmlformats.org/officeDocument/2006/relationships/image" Target="media/image10.png"/><Relationship Id="rId26"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84</Pages>
  <Words>28601</Words>
  <Characters>163030</Characters>
  <Application>Microsoft Office Word</Application>
  <DocSecurity>0</DocSecurity>
  <Lines>1358</Lines>
  <Paragraphs>382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191249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Hongbo Si/5G Standards /SRA/Engineer/Samsung Electronics </cp:lastModifiedBy>
  <cp:revision>4</cp:revision>
  <cp:lastPrinted>2016-08-13T07:06:00Z</cp:lastPrinted>
  <dcterms:created xsi:type="dcterms:W3CDTF">2021-02-02T08:32:00Z</dcterms:created>
  <dcterms:modified xsi:type="dcterms:W3CDTF">2021-02-02T18:04:00Z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