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w:t>
            </w:r>
            <w:proofErr w:type="gramStart"/>
            <w:r w:rsidR="007F40AC">
              <w:rPr>
                <w:rFonts w:ascii="Times New Roman" w:hAnsi="Times New Roman"/>
                <w:sz w:val="22"/>
                <w:szCs w:val="22"/>
                <w:lang w:eastAsia="zh-CN"/>
              </w:rPr>
              <w:t>and etc.</w:t>
            </w:r>
            <w:proofErr w:type="gramEnd"/>
            <w:r w:rsidR="007F40AC">
              <w:rPr>
                <w:rFonts w:ascii="Times New Roman" w:hAnsi="Times New Roman"/>
                <w:sz w:val="22"/>
                <w:szCs w:val="22"/>
                <w:lang w:eastAsia="zh-CN"/>
              </w:rPr>
              <w:t xml:space="preserve">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w:t>
            </w:r>
            <w:r w:rsidRPr="00E7444D">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w:t>
      </w:r>
      <w:r>
        <w:rPr>
          <w:rFonts w:ascii="Times New Roman" w:hAnsi="Times New Roman"/>
          <w:sz w:val="22"/>
          <w:szCs w:val="22"/>
          <w:lang w:eastAsia="zh-CN"/>
        </w:rPr>
        <w:lastRenderedPageBreak/>
        <w:t>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o:ole="">
            <v:imagedata r:id="rId15" o:title=""/>
          </v:shape>
          <o:OLEObject Type="Embed" ProgID="Visio.Drawing.15" ShapeID="_x0000_i1025" DrawAspect="Content" ObjectID="_1673172029"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72030"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w:t>
      </w:r>
      <w:r>
        <w:rPr>
          <w:rFonts w:eastAsia="SimSun"/>
          <w:lang w:eastAsia="zh-CN"/>
        </w:rPr>
        <w:lastRenderedPageBreak/>
        <w:t>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sidRPr="00D34719">
              <w:rPr>
                <w:rFonts w:ascii="Times New Roman" w:hAnsi="Times New Roman"/>
                <w:sz w:val="22"/>
                <w:szCs w:val="22"/>
                <w:lang w:eastAsia="zh-CN"/>
              </w:rPr>
              <w:t>sufficient</w:t>
            </w:r>
            <w:proofErr w:type="gramEnd"/>
            <w:r w:rsidRPr="00D34719">
              <w:rPr>
                <w:rFonts w:ascii="Times New Roman" w:hAnsi="Times New Roman"/>
                <w:sz w:val="22"/>
                <w:szCs w:val="22"/>
                <w:lang w:eastAsia="zh-CN"/>
              </w:rPr>
              <w:t xml:space="preserve"> opportunity for UL transmissions (if slot level gaps are agreed).</w:t>
            </w:r>
          </w:p>
          <w:p w14:paraId="4A0F6F6E" w14:textId="563FC850"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w:t>
      </w:r>
      <w:r>
        <w:rPr>
          <w:rFonts w:ascii="Times New Roman" w:hAnsi="Times New Roman"/>
          <w:sz w:val="22"/>
          <w:szCs w:val="22"/>
          <w:lang w:eastAsia="zh-CN"/>
        </w:rPr>
        <w:lastRenderedPageBreak/>
        <w:t>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5pt;height:131.25pt" o:ole="">
            <v:imagedata r:id="rId19" o:title=""/>
          </v:shape>
          <o:OLEObject Type="Embed" ProgID="Visio.Drawing.15" ShapeID="_x0000_i1027" DrawAspect="Content" ObjectID="_1673172031"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pt;height:201.75pt" o:ole="">
            <v:imagedata r:id="rId21" o:title=""/>
          </v:shape>
          <o:OLEObject Type="Embed" ProgID="Visio.Drawing.15" ShapeID="_x0000_i1028" DrawAspect="Content" ObjectID="_1673172032" r:id="rId22"/>
        </w:object>
      </w:r>
    </w:p>
    <w:p w14:paraId="6703508C" w14:textId="77777777" w:rsidR="00E82F34" w:rsidRDefault="00DB66BB">
      <w:pPr>
        <w:pStyle w:val="BodyText"/>
        <w:spacing w:after="0"/>
      </w:pPr>
      <w:r>
        <w:object w:dxaOrig="9930" w:dyaOrig="4030" w14:anchorId="69F2F957">
          <v:shape id="_x0000_i1029" type="#_x0000_t75" style="width:496.5pt;height:201.75pt" o:ole="">
            <v:imagedata r:id="rId23" o:title=""/>
          </v:shape>
          <o:OLEObject Type="Embed" ProgID="Visio.Drawing.15" ShapeID="_x0000_i1029" DrawAspect="Content" ObjectID="_1673172033"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pt;height:116.25pt" o:ole="">
            <v:imagedata r:id="rId25" o:title=""/>
          </v:shape>
          <o:OLEObject Type="Embed" ProgID="Visio.Drawing.15" ShapeID="_x0000_i1030" DrawAspect="Content" ObjectID="_1673172034"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Pr>
                <w:rFonts w:ascii="Times New Roman" w:hAnsi="Times New Roman"/>
                <w:sz w:val="22"/>
                <w:szCs w:val="22"/>
                <w:lang w:eastAsia="zh-CN"/>
              </w:rPr>
              <w:t xml:space="preserve">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Our view is that at</w:t>
            </w:r>
            <w:r>
              <w:rPr>
                <w:rFonts w:ascii="Times New Roman" w:hAnsi="Times New Roman"/>
                <w:sz w:val="22"/>
                <w:szCs w:val="22"/>
                <w:lang w:eastAsia="zh-CN"/>
              </w:rPr>
              <w:t xml:space="preserve">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lastRenderedPageBreak/>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w:t>
            </w:r>
            <w:r>
              <w:rPr>
                <w:rFonts w:ascii="Times New Roman" w:hAnsi="Times New Roman"/>
                <w:sz w:val="22"/>
                <w:szCs w:val="22"/>
                <w:lang w:eastAsia="zh-CN"/>
              </w:rPr>
              <w:t xml:space="preserve">t </w:t>
            </w:r>
            <w:r>
              <w:rPr>
                <w:rFonts w:ascii="Times New Roman" w:hAnsi="Times New Roman"/>
                <w:sz w:val="22"/>
                <w:szCs w:val="22"/>
                <w:lang w:eastAsia="zh-CN"/>
              </w:rPr>
              <w:t xml:space="preserve">require LBT in the first place </w:t>
            </w:r>
            <w:r>
              <w:rPr>
                <w:rFonts w:ascii="Times New Roman" w:hAnsi="Times New Roman"/>
                <w:sz w:val="22"/>
                <w:szCs w:val="22"/>
                <w:lang w:eastAsia="zh-CN"/>
              </w:rPr>
              <w:lastRenderedPageBreak/>
              <w:t>due to short control signaling exemption. It makes little sense to re-design PRACH configurations to support such gaps. The PRACH configuration table can be used "as is" in the 60 GHz band as we describe in our contribution.</w:t>
            </w:r>
            <w:r>
              <w:rPr>
                <w:rFonts w:ascii="Times New Roman" w:hAnsi="Times New Roman"/>
                <w:sz w:val="22"/>
                <w:szCs w:val="22"/>
                <w:lang w:eastAsia="zh-CN"/>
              </w:rPr>
              <w:t xml:space="preserve"> It is undesirable to re-design the PRACH configuration tables to support such gaps when they are not warranted in practice.</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tc>
          <w:tcPr>
            <w:tcW w:w="1226"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tc>
          <w:tcPr>
            <w:tcW w:w="1226"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bookmarkStart w:id="2" w:name="_GoBack" w:colFirst="0" w:colLast="0"/>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bookmarkEnd w:id="2"/>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A9626" w14:textId="77777777" w:rsidR="00212153" w:rsidRDefault="00212153">
      <w:pPr>
        <w:spacing w:after="0" w:line="240" w:lineRule="auto"/>
      </w:pPr>
      <w:r>
        <w:separator/>
      </w:r>
    </w:p>
  </w:endnote>
  <w:endnote w:type="continuationSeparator" w:id="0">
    <w:p w14:paraId="64D562C6" w14:textId="77777777" w:rsidR="00212153" w:rsidRDefault="0021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A1570D" w:rsidRDefault="00A1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1570D" w:rsidRDefault="00A15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D1D8012" w:rsidR="00A1570D" w:rsidRDefault="00A157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F452" w14:textId="77777777" w:rsidR="00212153" w:rsidRDefault="00212153">
      <w:pPr>
        <w:spacing w:after="0" w:line="240" w:lineRule="auto"/>
      </w:pPr>
      <w:r>
        <w:separator/>
      </w:r>
    </w:p>
  </w:footnote>
  <w:footnote w:type="continuationSeparator" w:id="0">
    <w:p w14:paraId="6725B117" w14:textId="77777777" w:rsidR="00212153" w:rsidRDefault="0021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A1570D" w:rsidRDefault="00A1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
  </w:num>
  <w:num w:numId="7">
    <w:abstractNumId w:val="11"/>
  </w:num>
  <w:num w:numId="8">
    <w:abstractNumId w:val="3"/>
  </w:num>
  <w:num w:numId="9">
    <w:abstractNumId w:val="10"/>
  </w:num>
  <w:num w:numId="10">
    <w:abstractNumId w:val="12"/>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E64BF9-4507-4CC4-8A9F-00B9F1F66B6E}">
  <ds:schemaRefs>
    <ds:schemaRef ds:uri="http://schemas.openxmlformats.org/officeDocument/2006/bibliography"/>
  </ds:schemaRefs>
</ds:datastoreItem>
</file>

<file path=customXml/itemProps6.xml><?xml version="1.0" encoding="utf-8"?>
<ds:datastoreItem xmlns:ds="http://schemas.openxmlformats.org/officeDocument/2006/customXml" ds:itemID="{BCE48DCA-C26B-4C45-9712-7B7DB5B0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36</Pages>
  <Words>12445</Words>
  <Characters>70941</Characters>
  <Application>Microsoft Office Word</Application>
  <DocSecurity>0</DocSecurity>
  <Lines>591</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83220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Stephen Grant</cp:lastModifiedBy>
  <cp:revision>4</cp:revision>
  <cp:lastPrinted>2011-11-09T07:49:00Z</cp:lastPrinted>
  <dcterms:created xsi:type="dcterms:W3CDTF">2021-01-26T20:19:00Z</dcterms:created>
  <dcterms:modified xsi:type="dcterms:W3CDTF">2021-01-26T21:13:00Z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